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525" w:rsidRPr="00DC0A4B" w:rsidRDefault="00276525" w:rsidP="001136EE">
      <w:pPr>
        <w:jc w:val="center"/>
        <w:rPr>
          <w:rFonts w:ascii="Garamond" w:hAnsi="Garamond"/>
          <w:b/>
          <w:sz w:val="36"/>
          <w:szCs w:val="40"/>
          <w:u w:val="single"/>
        </w:rPr>
      </w:pPr>
      <w:r w:rsidRPr="00DC0A4B">
        <w:rPr>
          <w:rFonts w:ascii="Garamond" w:hAnsi="Garamond"/>
          <w:b/>
          <w:sz w:val="36"/>
          <w:szCs w:val="40"/>
          <w:u w:val="single"/>
        </w:rPr>
        <w:t>After austerity: policy responses and p</w:t>
      </w:r>
      <w:r w:rsidR="001136EE" w:rsidRPr="00DC0A4B">
        <w:rPr>
          <w:rFonts w:ascii="Garamond" w:hAnsi="Garamond"/>
          <w:b/>
          <w:sz w:val="36"/>
          <w:szCs w:val="40"/>
          <w:u w:val="single"/>
        </w:rPr>
        <w:t>ublic attitudes towa</w:t>
      </w:r>
      <w:r w:rsidRPr="00DC0A4B">
        <w:rPr>
          <w:rFonts w:ascii="Garamond" w:hAnsi="Garamond"/>
          <w:b/>
          <w:sz w:val="36"/>
          <w:szCs w:val="40"/>
          <w:u w:val="single"/>
        </w:rPr>
        <w:t>rds the welfare state in Europe</w:t>
      </w:r>
      <w:r w:rsidR="001136EE" w:rsidRPr="00DC0A4B">
        <w:rPr>
          <w:rFonts w:ascii="Garamond" w:hAnsi="Garamond"/>
          <w:b/>
          <w:sz w:val="36"/>
          <w:szCs w:val="40"/>
          <w:u w:val="single"/>
        </w:rPr>
        <w:t xml:space="preserve"> </w:t>
      </w:r>
    </w:p>
    <w:p w:rsidR="001136EE" w:rsidRDefault="00276525" w:rsidP="001136EE">
      <w:pPr>
        <w:jc w:val="center"/>
        <w:rPr>
          <w:rFonts w:ascii="Garamond" w:hAnsi="Garamond"/>
          <w:b/>
          <w:sz w:val="36"/>
          <w:szCs w:val="40"/>
          <w:u w:val="single"/>
        </w:rPr>
      </w:pPr>
      <w:r w:rsidRPr="00DC0A4B">
        <w:rPr>
          <w:rFonts w:ascii="Garamond" w:hAnsi="Garamond"/>
          <w:b/>
          <w:sz w:val="36"/>
          <w:szCs w:val="40"/>
          <w:u w:val="single"/>
        </w:rPr>
        <w:t>A</w:t>
      </w:r>
      <w:r w:rsidR="001136EE" w:rsidRPr="00DC0A4B">
        <w:rPr>
          <w:rFonts w:ascii="Garamond" w:hAnsi="Garamond"/>
          <w:b/>
          <w:sz w:val="36"/>
          <w:szCs w:val="40"/>
          <w:u w:val="single"/>
        </w:rPr>
        <w:t xml:space="preserve"> comparative perspective</w:t>
      </w:r>
    </w:p>
    <w:p w:rsidR="001E476A" w:rsidRPr="001E476A" w:rsidRDefault="001E476A" w:rsidP="001E476A">
      <w:pPr>
        <w:jc w:val="right"/>
        <w:rPr>
          <w:rFonts w:ascii="Garamond" w:hAnsi="Garamond"/>
          <w:i/>
          <w:sz w:val="24"/>
          <w:szCs w:val="24"/>
        </w:rPr>
      </w:pPr>
      <w:r w:rsidRPr="001E476A">
        <w:rPr>
          <w:rFonts w:ascii="Garamond" w:hAnsi="Garamond"/>
          <w:i/>
          <w:sz w:val="24"/>
          <w:szCs w:val="24"/>
        </w:rPr>
        <w:t>Benjamin Leruth and Peter Taylor-</w:t>
      </w:r>
      <w:proofErr w:type="spellStart"/>
      <w:r w:rsidRPr="001E476A">
        <w:rPr>
          <w:rFonts w:ascii="Garamond" w:hAnsi="Garamond"/>
          <w:i/>
          <w:sz w:val="24"/>
          <w:szCs w:val="24"/>
        </w:rPr>
        <w:t>Gooby</w:t>
      </w:r>
      <w:proofErr w:type="spellEnd"/>
      <w:r w:rsidRPr="001E476A">
        <w:rPr>
          <w:rFonts w:ascii="Garamond" w:hAnsi="Garamond"/>
          <w:i/>
          <w:sz w:val="24"/>
          <w:szCs w:val="24"/>
        </w:rPr>
        <w:t>, University of Kent</w:t>
      </w:r>
    </w:p>
    <w:p w:rsidR="001136EE" w:rsidRDefault="001136EE" w:rsidP="00180B46">
      <w:pPr>
        <w:jc w:val="both"/>
        <w:rPr>
          <w:rFonts w:ascii="Garamond" w:hAnsi="Garamond"/>
          <w:sz w:val="24"/>
          <w:szCs w:val="24"/>
        </w:rPr>
      </w:pPr>
    </w:p>
    <w:p w:rsidR="001136EE" w:rsidRDefault="001136EE" w:rsidP="00180B46">
      <w:pPr>
        <w:jc w:val="both"/>
        <w:rPr>
          <w:rFonts w:ascii="Garamond" w:hAnsi="Garamond"/>
          <w:sz w:val="24"/>
          <w:szCs w:val="24"/>
        </w:rPr>
      </w:pPr>
      <w:r>
        <w:rPr>
          <w:rFonts w:ascii="Garamond" w:hAnsi="Garamond"/>
          <w:sz w:val="24"/>
          <w:szCs w:val="24"/>
        </w:rPr>
        <w:t>The WelfSOC project exam</w:t>
      </w:r>
      <w:bookmarkStart w:id="0" w:name="_GoBack"/>
      <w:bookmarkEnd w:id="0"/>
      <w:r>
        <w:rPr>
          <w:rFonts w:ascii="Garamond" w:hAnsi="Garamond"/>
          <w:sz w:val="24"/>
          <w:szCs w:val="24"/>
        </w:rPr>
        <w:t xml:space="preserve">ines public attitudes towards the welfare state and aims at examining people’s aspiration for welfare provisions for the future. </w:t>
      </w:r>
      <w:r w:rsidR="003011D3">
        <w:rPr>
          <w:rFonts w:ascii="Garamond" w:hAnsi="Garamond"/>
          <w:sz w:val="24"/>
          <w:szCs w:val="24"/>
        </w:rPr>
        <w:t xml:space="preserve">Democratic forums will be used as an innovative research method in order to determine the aspirations, priorities and preferences when it comes to assessing welfare provisions in their children’s Europe. </w:t>
      </w:r>
    </w:p>
    <w:p w:rsidR="00E10C8C" w:rsidRDefault="00E10C8C" w:rsidP="00180B46">
      <w:pPr>
        <w:jc w:val="both"/>
        <w:rPr>
          <w:rFonts w:ascii="Garamond" w:hAnsi="Garamond"/>
          <w:sz w:val="24"/>
          <w:szCs w:val="24"/>
        </w:rPr>
      </w:pPr>
      <w:r>
        <w:rPr>
          <w:rFonts w:ascii="Garamond" w:hAnsi="Garamond"/>
          <w:sz w:val="24"/>
          <w:szCs w:val="24"/>
        </w:rPr>
        <w:t>As part of this project, we intend to publish at least two books. The first one, entitled “</w:t>
      </w:r>
      <w:r w:rsidRPr="00E10C8C">
        <w:rPr>
          <w:rFonts w:ascii="Garamond" w:hAnsi="Garamond"/>
          <w:i/>
          <w:sz w:val="24"/>
          <w:szCs w:val="24"/>
        </w:rPr>
        <w:t>After Austerity: The New Politics of Welfare in Europe</w:t>
      </w:r>
      <w:r>
        <w:rPr>
          <w:rFonts w:ascii="Garamond" w:hAnsi="Garamond"/>
          <w:sz w:val="24"/>
          <w:szCs w:val="24"/>
        </w:rPr>
        <w:t>”, focuses on policy responses to the Great Recession across Europe and includes other countries such as France, Greece, Italy and Sweden, as well as a chapter assessing developments at the European Union level. The second book will draw on WelfSOC findings, and discuss changes in public attitudes towards the welfare state</w:t>
      </w:r>
      <w:r w:rsidR="009C7D73">
        <w:rPr>
          <w:rFonts w:ascii="Garamond" w:hAnsi="Garamond"/>
          <w:sz w:val="24"/>
          <w:szCs w:val="24"/>
        </w:rPr>
        <w:t xml:space="preserve"> in comparative perspective</w:t>
      </w:r>
      <w:r w:rsidR="003D379A">
        <w:rPr>
          <w:rFonts w:ascii="Garamond" w:hAnsi="Garamond"/>
          <w:sz w:val="24"/>
          <w:szCs w:val="24"/>
        </w:rPr>
        <w:t>. We hypothesise that</w:t>
      </w:r>
      <w:r w:rsidR="007A6EDD">
        <w:rPr>
          <w:rFonts w:ascii="Garamond" w:hAnsi="Garamond"/>
          <w:sz w:val="24"/>
          <w:szCs w:val="24"/>
        </w:rPr>
        <w:t xml:space="preserve"> a long-term shift away from the solidarities that facilitated the development of welfare </w:t>
      </w:r>
      <w:r w:rsidR="00D64B77">
        <w:rPr>
          <w:rFonts w:ascii="Garamond" w:hAnsi="Garamond"/>
          <w:sz w:val="24"/>
          <w:szCs w:val="24"/>
        </w:rPr>
        <w:t>states</w:t>
      </w:r>
      <w:r w:rsidR="007A6EDD">
        <w:rPr>
          <w:rFonts w:ascii="Garamond" w:hAnsi="Garamond"/>
          <w:sz w:val="24"/>
          <w:szCs w:val="24"/>
        </w:rPr>
        <w:t xml:space="preserve"> in Europe is taking place and that this process has been accelerated by</w:t>
      </w:r>
      <w:r w:rsidR="003D379A">
        <w:rPr>
          <w:rFonts w:ascii="Garamond" w:hAnsi="Garamond"/>
          <w:sz w:val="24"/>
          <w:szCs w:val="24"/>
        </w:rPr>
        <w:t xml:space="preserve"> responses to the Great Recession. </w:t>
      </w:r>
    </w:p>
    <w:p w:rsidR="00475251" w:rsidRPr="0058485E" w:rsidRDefault="00180B46" w:rsidP="00180B46">
      <w:pPr>
        <w:jc w:val="both"/>
        <w:rPr>
          <w:rFonts w:ascii="Garamond" w:hAnsi="Garamond"/>
          <w:sz w:val="24"/>
        </w:rPr>
      </w:pPr>
      <w:r>
        <w:rPr>
          <w:rFonts w:ascii="Garamond" w:hAnsi="Garamond"/>
          <w:sz w:val="24"/>
          <w:szCs w:val="24"/>
        </w:rPr>
        <w:t xml:space="preserve">The </w:t>
      </w:r>
      <w:r w:rsidR="007F30D8">
        <w:rPr>
          <w:rFonts w:ascii="Garamond" w:hAnsi="Garamond"/>
          <w:sz w:val="24"/>
          <w:szCs w:val="24"/>
        </w:rPr>
        <w:t>main objectives</w:t>
      </w:r>
      <w:r>
        <w:rPr>
          <w:rFonts w:ascii="Garamond" w:hAnsi="Garamond"/>
          <w:sz w:val="24"/>
          <w:szCs w:val="24"/>
        </w:rPr>
        <w:t xml:space="preserve"> of this </w:t>
      </w:r>
      <w:r w:rsidR="00A93B74">
        <w:rPr>
          <w:rFonts w:ascii="Garamond" w:hAnsi="Garamond"/>
          <w:sz w:val="24"/>
          <w:szCs w:val="24"/>
        </w:rPr>
        <w:t>paper</w:t>
      </w:r>
      <w:r>
        <w:rPr>
          <w:rFonts w:ascii="Garamond" w:hAnsi="Garamond"/>
          <w:sz w:val="24"/>
          <w:szCs w:val="24"/>
        </w:rPr>
        <w:t xml:space="preserve"> is </w:t>
      </w:r>
      <w:r w:rsidR="007F30D8">
        <w:rPr>
          <w:rFonts w:ascii="Garamond" w:hAnsi="Garamond"/>
          <w:sz w:val="24"/>
          <w:szCs w:val="24"/>
        </w:rPr>
        <w:t xml:space="preserve">to connect these two book projects and </w:t>
      </w:r>
      <w:r>
        <w:rPr>
          <w:rFonts w:ascii="Garamond" w:hAnsi="Garamond"/>
          <w:sz w:val="24"/>
          <w:szCs w:val="24"/>
        </w:rPr>
        <w:t>to complement national background papers</w:t>
      </w:r>
      <w:r w:rsidR="007F30D8">
        <w:rPr>
          <w:rFonts w:ascii="Garamond" w:hAnsi="Garamond"/>
          <w:sz w:val="24"/>
          <w:szCs w:val="24"/>
        </w:rPr>
        <w:t xml:space="preserve"> </w:t>
      </w:r>
      <w:r>
        <w:rPr>
          <w:rFonts w:ascii="Garamond" w:hAnsi="Garamond"/>
          <w:sz w:val="24"/>
          <w:szCs w:val="24"/>
        </w:rPr>
        <w:t xml:space="preserve">by offering a comparative overview of policy responses to the Great Recession and of </w:t>
      </w:r>
      <w:r w:rsidRPr="00C220D5">
        <w:rPr>
          <w:rFonts w:ascii="Garamond" w:hAnsi="Garamond"/>
          <w:sz w:val="24"/>
          <w:szCs w:val="24"/>
        </w:rPr>
        <w:t xml:space="preserve">public attitudes towards welfare politics </w:t>
      </w:r>
      <w:r>
        <w:rPr>
          <w:rFonts w:ascii="Garamond" w:hAnsi="Garamond"/>
          <w:sz w:val="24"/>
          <w:szCs w:val="24"/>
        </w:rPr>
        <w:t>in the five countries analysed within the framework of the WelfSOC project: Denmark, Norway, Germany, Slovenia and the United Kingdom</w:t>
      </w:r>
      <w:r w:rsidRPr="00C220D5">
        <w:rPr>
          <w:rFonts w:ascii="Garamond" w:hAnsi="Garamond"/>
          <w:sz w:val="24"/>
          <w:szCs w:val="24"/>
        </w:rPr>
        <w:t>.</w:t>
      </w:r>
      <w:r w:rsidR="00A706D3">
        <w:rPr>
          <w:rFonts w:ascii="Garamond" w:hAnsi="Garamond"/>
          <w:sz w:val="24"/>
          <w:szCs w:val="24"/>
        </w:rPr>
        <w:t xml:space="preserve"> Some data on public attitudes in France, Greece, Italy and Sweden is also included, and could be part of our first book, as mentioned above.</w:t>
      </w:r>
      <w:r>
        <w:rPr>
          <w:rFonts w:ascii="Garamond" w:hAnsi="Garamond"/>
          <w:sz w:val="24"/>
          <w:szCs w:val="24"/>
        </w:rPr>
        <w:t xml:space="preserve"> </w:t>
      </w:r>
      <w:r w:rsidR="001136EE">
        <w:rPr>
          <w:rFonts w:ascii="Garamond" w:hAnsi="Garamond"/>
          <w:sz w:val="24"/>
          <w:szCs w:val="24"/>
        </w:rPr>
        <w:t xml:space="preserve">It is divided into three main sections. The first one assesses the political context in the five countries considered, and focuses on party politics and policy responses to the Great Recession. The second one then discusses public attitudes towards the welfare state. A particular emphasis is put on four themes, which should be prevalent in each country: </w:t>
      </w:r>
      <w:r w:rsidR="001136EE">
        <w:rPr>
          <w:rFonts w:ascii="Garamond" w:hAnsi="Garamond"/>
          <w:sz w:val="24"/>
        </w:rPr>
        <w:t xml:space="preserve">neo-liberalism, immigration, gender, and inequality. National and cross-national data will be put together, in order to assess the relevance of welfare-related issues in comparative perspective. The third section then offers a preliminary conclusion, drawing on similarities and differences between the five countries. </w:t>
      </w:r>
    </w:p>
    <w:p w:rsidR="0085499F" w:rsidRPr="00DC0A4B" w:rsidRDefault="00FB6E9F">
      <w:pPr>
        <w:rPr>
          <w:rFonts w:ascii="Garamond" w:hAnsi="Garamond"/>
          <w:b/>
          <w:sz w:val="24"/>
          <w:u w:val="single"/>
        </w:rPr>
      </w:pPr>
      <w:r w:rsidRPr="00DC0A4B">
        <w:rPr>
          <w:rFonts w:ascii="Garamond" w:hAnsi="Garamond"/>
          <w:b/>
          <w:sz w:val="24"/>
          <w:u w:val="single"/>
        </w:rPr>
        <w:t>Welfare</w:t>
      </w:r>
      <w:r w:rsidR="00475251" w:rsidRPr="00DC0A4B">
        <w:rPr>
          <w:rFonts w:ascii="Garamond" w:hAnsi="Garamond"/>
          <w:b/>
          <w:sz w:val="24"/>
          <w:u w:val="single"/>
        </w:rPr>
        <w:t>/party politics</w:t>
      </w:r>
      <w:r w:rsidRPr="00DC0A4B">
        <w:rPr>
          <w:rFonts w:ascii="Garamond" w:hAnsi="Garamond"/>
          <w:b/>
          <w:sz w:val="24"/>
          <w:u w:val="single"/>
        </w:rPr>
        <w:t xml:space="preserve"> after the Great Recession: most recent developments</w:t>
      </w:r>
    </w:p>
    <w:p w:rsidR="00CA0A26" w:rsidRDefault="00D04421" w:rsidP="00D04421">
      <w:pPr>
        <w:jc w:val="both"/>
        <w:rPr>
          <w:rFonts w:ascii="Garamond" w:hAnsi="Garamond"/>
          <w:sz w:val="24"/>
          <w:szCs w:val="24"/>
        </w:rPr>
      </w:pPr>
      <w:r w:rsidRPr="00D04421">
        <w:rPr>
          <w:rFonts w:ascii="Garamond" w:hAnsi="Garamond"/>
          <w:sz w:val="24"/>
          <w:szCs w:val="24"/>
        </w:rPr>
        <w:t>Party and electoral systems significantly vary from one country to another. Denmark and Norway are both parliamentary representative, democratic constitutional monarchies, with well-establishe</w:t>
      </w:r>
      <w:r>
        <w:rPr>
          <w:rFonts w:ascii="Garamond" w:hAnsi="Garamond"/>
          <w:sz w:val="24"/>
          <w:szCs w:val="24"/>
        </w:rPr>
        <w:t xml:space="preserve">d multi-party systems and unicameral parliaments; Slovenia is a </w:t>
      </w:r>
      <w:r w:rsidR="001C3644">
        <w:rPr>
          <w:rFonts w:ascii="Garamond" w:hAnsi="Garamond"/>
          <w:sz w:val="24"/>
          <w:szCs w:val="24"/>
        </w:rPr>
        <w:t xml:space="preserve">‘young’ post-Communist </w:t>
      </w:r>
      <w:r>
        <w:rPr>
          <w:rFonts w:ascii="Garamond" w:hAnsi="Garamond"/>
          <w:sz w:val="24"/>
          <w:szCs w:val="24"/>
        </w:rPr>
        <w:t xml:space="preserve">parliamentary representative democratic republic, with </w:t>
      </w:r>
      <w:r w:rsidR="00806202">
        <w:rPr>
          <w:rFonts w:ascii="Garamond" w:hAnsi="Garamond"/>
          <w:sz w:val="24"/>
          <w:szCs w:val="24"/>
        </w:rPr>
        <w:t xml:space="preserve">an asymmetric bicameral legislature and </w:t>
      </w:r>
      <w:r w:rsidR="00806202">
        <w:rPr>
          <w:rFonts w:ascii="Garamond" w:hAnsi="Garamond"/>
          <w:sz w:val="24"/>
          <w:szCs w:val="24"/>
        </w:rPr>
        <w:tab/>
        <w:t xml:space="preserve">a stable multi-party system; </w:t>
      </w:r>
      <w:r w:rsidR="004871E7">
        <w:rPr>
          <w:rFonts w:ascii="Garamond" w:hAnsi="Garamond"/>
          <w:sz w:val="24"/>
          <w:szCs w:val="24"/>
        </w:rPr>
        <w:t xml:space="preserve">Germany is a federal parliamentary republic, with a multi-party system led by the Christian Democratic Union and the Social Democratic Party; and the United Kingdom is a </w:t>
      </w:r>
      <w:r w:rsidR="005D7850">
        <w:rPr>
          <w:rFonts w:ascii="Garamond" w:hAnsi="Garamond"/>
          <w:sz w:val="24"/>
          <w:szCs w:val="24"/>
        </w:rPr>
        <w:t xml:space="preserve">bicameral </w:t>
      </w:r>
      <w:r w:rsidR="004871E7">
        <w:rPr>
          <w:rFonts w:ascii="Garamond" w:hAnsi="Garamond"/>
          <w:sz w:val="24"/>
          <w:szCs w:val="24"/>
        </w:rPr>
        <w:t xml:space="preserve">constitutional monarchy with devolved governments in Scotland, Wales </w:t>
      </w:r>
      <w:r w:rsidR="004871E7">
        <w:rPr>
          <w:rFonts w:ascii="Garamond" w:hAnsi="Garamond"/>
          <w:sz w:val="24"/>
          <w:szCs w:val="24"/>
        </w:rPr>
        <w:lastRenderedPageBreak/>
        <w:t>and Northern Ireland, using a first-past-the-post electora</w:t>
      </w:r>
      <w:r w:rsidR="005D7850">
        <w:rPr>
          <w:rFonts w:ascii="Garamond" w:hAnsi="Garamond"/>
          <w:sz w:val="24"/>
          <w:szCs w:val="24"/>
        </w:rPr>
        <w:t>l system favouring bipartisanship</w:t>
      </w:r>
      <w:r w:rsidR="004871E7">
        <w:rPr>
          <w:rFonts w:ascii="Garamond" w:hAnsi="Garamond"/>
          <w:sz w:val="24"/>
          <w:szCs w:val="24"/>
        </w:rPr>
        <w:t xml:space="preserve"> </w:t>
      </w:r>
      <w:r w:rsidR="005D7850">
        <w:rPr>
          <w:rFonts w:ascii="Garamond" w:hAnsi="Garamond"/>
          <w:sz w:val="24"/>
          <w:szCs w:val="24"/>
        </w:rPr>
        <w:t>despite an increasing f</w:t>
      </w:r>
      <w:r w:rsidR="00CA0A26">
        <w:rPr>
          <w:rFonts w:ascii="Garamond" w:hAnsi="Garamond"/>
          <w:sz w:val="24"/>
          <w:szCs w:val="24"/>
        </w:rPr>
        <w:t>ragmentation of the electorate</w:t>
      </w:r>
      <w:r w:rsidR="00050B9D">
        <w:rPr>
          <w:rFonts w:ascii="Garamond" w:hAnsi="Garamond"/>
          <w:sz w:val="24"/>
          <w:szCs w:val="24"/>
        </w:rPr>
        <w:t>, suggesting a move towards a multi-party system</w:t>
      </w:r>
      <w:r w:rsidR="008D3433">
        <w:rPr>
          <w:rFonts w:ascii="Garamond" w:hAnsi="Garamond"/>
          <w:sz w:val="24"/>
          <w:szCs w:val="24"/>
        </w:rPr>
        <w:t xml:space="preserve"> within the constraints of first-past-the-post voting</w:t>
      </w:r>
      <w:r w:rsidR="00CA0A26">
        <w:rPr>
          <w:rFonts w:ascii="Garamond" w:hAnsi="Garamond"/>
          <w:sz w:val="24"/>
          <w:szCs w:val="24"/>
        </w:rPr>
        <w:t>.</w:t>
      </w:r>
    </w:p>
    <w:p w:rsidR="00CA0A26" w:rsidRPr="00D04421" w:rsidRDefault="00CA0A26" w:rsidP="00D04421">
      <w:pPr>
        <w:jc w:val="both"/>
        <w:rPr>
          <w:rFonts w:ascii="Garamond" w:hAnsi="Garamond"/>
          <w:sz w:val="24"/>
          <w:szCs w:val="24"/>
        </w:rPr>
        <w:sectPr w:rsidR="00CA0A26" w:rsidRPr="00D04421">
          <w:pgSz w:w="11906" w:h="16838"/>
          <w:pgMar w:top="1440" w:right="1440" w:bottom="1440" w:left="1440" w:header="708" w:footer="708" w:gutter="0"/>
          <w:cols w:space="708"/>
          <w:docGrid w:linePitch="360"/>
        </w:sectPr>
      </w:pPr>
    </w:p>
    <w:p w:rsidR="0085499F" w:rsidRPr="001D4064" w:rsidRDefault="00180B46">
      <w:pPr>
        <w:rPr>
          <w:rFonts w:ascii="Garamond" w:hAnsi="Garamond"/>
          <w:b/>
          <w:sz w:val="24"/>
        </w:rPr>
      </w:pPr>
      <w:r w:rsidRPr="001D4064">
        <w:rPr>
          <w:rFonts w:ascii="Garamond" w:hAnsi="Garamond"/>
          <w:b/>
          <w:sz w:val="24"/>
        </w:rPr>
        <w:lastRenderedPageBreak/>
        <w:t>Tab</w:t>
      </w:r>
      <w:r w:rsidR="001D4064" w:rsidRPr="001D4064">
        <w:rPr>
          <w:rFonts w:ascii="Garamond" w:hAnsi="Garamond"/>
          <w:b/>
          <w:sz w:val="24"/>
        </w:rPr>
        <w:t>le 1. List of political parties, per party family, and most recent election results at the national level</w:t>
      </w:r>
    </w:p>
    <w:tbl>
      <w:tblPr>
        <w:tblStyle w:val="TableGrid"/>
        <w:tblW w:w="14661" w:type="dxa"/>
        <w:tblLayout w:type="fixed"/>
        <w:tblLook w:val="04A0" w:firstRow="1" w:lastRow="0" w:firstColumn="1" w:lastColumn="0" w:noHBand="0" w:noVBand="1"/>
      </w:tblPr>
      <w:tblGrid>
        <w:gridCol w:w="1384"/>
        <w:gridCol w:w="2552"/>
        <w:gridCol w:w="2551"/>
        <w:gridCol w:w="2693"/>
        <w:gridCol w:w="2552"/>
        <w:gridCol w:w="2929"/>
      </w:tblGrid>
      <w:tr w:rsidR="00180B46" w:rsidTr="00180B46">
        <w:tc>
          <w:tcPr>
            <w:tcW w:w="1384" w:type="dxa"/>
          </w:tcPr>
          <w:p w:rsidR="00A205B2" w:rsidRDefault="00A205B2">
            <w:pPr>
              <w:rPr>
                <w:rFonts w:ascii="Garamond" w:hAnsi="Garamond"/>
                <w:sz w:val="24"/>
              </w:rPr>
            </w:pPr>
          </w:p>
        </w:tc>
        <w:tc>
          <w:tcPr>
            <w:tcW w:w="2552" w:type="dxa"/>
          </w:tcPr>
          <w:p w:rsidR="00A205B2" w:rsidRPr="000E09FE" w:rsidRDefault="00A205B2">
            <w:pPr>
              <w:rPr>
                <w:rFonts w:ascii="Garamond" w:hAnsi="Garamond"/>
                <w:i/>
                <w:sz w:val="24"/>
              </w:rPr>
            </w:pPr>
            <w:r w:rsidRPr="000E09FE">
              <w:rPr>
                <w:rFonts w:ascii="Garamond" w:hAnsi="Garamond"/>
                <w:i/>
                <w:sz w:val="24"/>
              </w:rPr>
              <w:t>Denmark</w:t>
            </w:r>
            <w:r w:rsidR="000E09FE">
              <w:rPr>
                <w:rFonts w:ascii="Garamond" w:hAnsi="Garamond"/>
                <w:i/>
                <w:sz w:val="24"/>
              </w:rPr>
              <w:br/>
            </w:r>
            <w:r w:rsidR="000E09FE" w:rsidRPr="000E09FE">
              <w:rPr>
                <w:rFonts w:ascii="Garamond" w:hAnsi="Garamond"/>
                <w:i/>
              </w:rPr>
              <w:t>Last election: 2015</w:t>
            </w:r>
          </w:p>
        </w:tc>
        <w:tc>
          <w:tcPr>
            <w:tcW w:w="2551" w:type="dxa"/>
          </w:tcPr>
          <w:p w:rsidR="00A205B2" w:rsidRPr="000E09FE" w:rsidRDefault="00A205B2">
            <w:pPr>
              <w:rPr>
                <w:rFonts w:ascii="Garamond" w:hAnsi="Garamond"/>
                <w:i/>
                <w:sz w:val="24"/>
              </w:rPr>
            </w:pPr>
            <w:r w:rsidRPr="000E09FE">
              <w:rPr>
                <w:rFonts w:ascii="Garamond" w:hAnsi="Garamond"/>
                <w:i/>
                <w:sz w:val="24"/>
              </w:rPr>
              <w:t>Norway</w:t>
            </w:r>
            <w:r w:rsidR="000E09FE">
              <w:rPr>
                <w:rFonts w:ascii="Garamond" w:hAnsi="Garamond"/>
                <w:i/>
                <w:sz w:val="24"/>
              </w:rPr>
              <w:br/>
            </w:r>
            <w:r w:rsidR="000E09FE" w:rsidRPr="000E09FE">
              <w:rPr>
                <w:rFonts w:ascii="Garamond" w:hAnsi="Garamond"/>
                <w:i/>
              </w:rPr>
              <w:t>Last election: 2013</w:t>
            </w:r>
          </w:p>
        </w:tc>
        <w:tc>
          <w:tcPr>
            <w:tcW w:w="2693" w:type="dxa"/>
          </w:tcPr>
          <w:p w:rsidR="00A205B2" w:rsidRPr="000E09FE" w:rsidRDefault="00A205B2">
            <w:pPr>
              <w:rPr>
                <w:rFonts w:ascii="Garamond" w:hAnsi="Garamond"/>
                <w:i/>
                <w:sz w:val="24"/>
              </w:rPr>
            </w:pPr>
            <w:r w:rsidRPr="000E09FE">
              <w:rPr>
                <w:rFonts w:ascii="Garamond" w:hAnsi="Garamond"/>
                <w:i/>
                <w:sz w:val="24"/>
              </w:rPr>
              <w:t>Germany</w:t>
            </w:r>
            <w:r w:rsidR="000E09FE">
              <w:rPr>
                <w:rFonts w:ascii="Garamond" w:hAnsi="Garamond"/>
                <w:i/>
                <w:sz w:val="24"/>
              </w:rPr>
              <w:br/>
            </w:r>
            <w:r w:rsidR="000E09FE" w:rsidRPr="000E09FE">
              <w:rPr>
                <w:rFonts w:ascii="Garamond" w:hAnsi="Garamond"/>
                <w:i/>
              </w:rPr>
              <w:t>Last election: 2013</w:t>
            </w:r>
          </w:p>
        </w:tc>
        <w:tc>
          <w:tcPr>
            <w:tcW w:w="2552" w:type="dxa"/>
          </w:tcPr>
          <w:p w:rsidR="00A205B2" w:rsidRPr="000E09FE" w:rsidRDefault="00A205B2">
            <w:pPr>
              <w:rPr>
                <w:rFonts w:ascii="Garamond" w:hAnsi="Garamond"/>
                <w:i/>
                <w:sz w:val="24"/>
              </w:rPr>
            </w:pPr>
            <w:r w:rsidRPr="000E09FE">
              <w:rPr>
                <w:rFonts w:ascii="Garamond" w:hAnsi="Garamond"/>
                <w:i/>
                <w:sz w:val="24"/>
              </w:rPr>
              <w:t>Slovenia</w:t>
            </w:r>
            <w:r w:rsidR="000E09FE">
              <w:rPr>
                <w:rFonts w:ascii="Garamond" w:hAnsi="Garamond"/>
                <w:i/>
                <w:sz w:val="24"/>
              </w:rPr>
              <w:br/>
              <w:t>Last election: 2014</w:t>
            </w:r>
          </w:p>
        </w:tc>
        <w:tc>
          <w:tcPr>
            <w:tcW w:w="2929" w:type="dxa"/>
          </w:tcPr>
          <w:p w:rsidR="00A205B2" w:rsidRPr="000E09FE" w:rsidRDefault="00A205B2" w:rsidP="000E09FE">
            <w:pPr>
              <w:rPr>
                <w:rFonts w:ascii="Garamond" w:hAnsi="Garamond"/>
                <w:i/>
                <w:sz w:val="24"/>
              </w:rPr>
            </w:pPr>
            <w:r w:rsidRPr="000E09FE">
              <w:rPr>
                <w:rFonts w:ascii="Garamond" w:hAnsi="Garamond"/>
                <w:i/>
                <w:sz w:val="24"/>
              </w:rPr>
              <w:t>United Kingdom</w:t>
            </w:r>
            <w:r w:rsidR="000E09FE">
              <w:rPr>
                <w:rFonts w:ascii="Garamond" w:hAnsi="Garamond"/>
                <w:i/>
                <w:sz w:val="24"/>
              </w:rPr>
              <w:br/>
            </w:r>
            <w:r w:rsidR="000E09FE" w:rsidRPr="000E09FE">
              <w:rPr>
                <w:rFonts w:ascii="Garamond" w:hAnsi="Garamond"/>
                <w:i/>
              </w:rPr>
              <w:t>Last election: 2015</w:t>
            </w:r>
          </w:p>
        </w:tc>
      </w:tr>
      <w:tr w:rsidR="00180B46" w:rsidTr="00180B46">
        <w:tc>
          <w:tcPr>
            <w:tcW w:w="1384" w:type="dxa"/>
          </w:tcPr>
          <w:p w:rsidR="00A205B2" w:rsidRPr="000E09FE" w:rsidRDefault="00A205B2">
            <w:pPr>
              <w:rPr>
                <w:rFonts w:ascii="Garamond" w:hAnsi="Garamond"/>
                <w:i/>
                <w:sz w:val="24"/>
              </w:rPr>
            </w:pPr>
            <w:r w:rsidRPr="000E09FE">
              <w:rPr>
                <w:rFonts w:ascii="Garamond" w:hAnsi="Garamond"/>
                <w:i/>
                <w:sz w:val="24"/>
              </w:rPr>
              <w:t>Conservative</w:t>
            </w:r>
          </w:p>
        </w:tc>
        <w:tc>
          <w:tcPr>
            <w:tcW w:w="2552" w:type="dxa"/>
          </w:tcPr>
          <w:p w:rsidR="00A205B2" w:rsidRDefault="00A205B2">
            <w:pPr>
              <w:rPr>
                <w:rFonts w:ascii="Garamond" w:hAnsi="Garamond"/>
                <w:sz w:val="24"/>
              </w:rPr>
            </w:pPr>
            <w:r>
              <w:rPr>
                <w:rFonts w:ascii="Garamond" w:hAnsi="Garamond"/>
                <w:sz w:val="24"/>
              </w:rPr>
              <w:t>Conservative People’s Party</w:t>
            </w:r>
            <w:r>
              <w:rPr>
                <w:rFonts w:ascii="Garamond" w:hAnsi="Garamond"/>
                <w:sz w:val="24"/>
              </w:rPr>
              <w:br/>
              <w:t>(3.4%)</w:t>
            </w:r>
          </w:p>
        </w:tc>
        <w:tc>
          <w:tcPr>
            <w:tcW w:w="2551" w:type="dxa"/>
          </w:tcPr>
          <w:p w:rsidR="00A205B2" w:rsidRPr="000E09FE" w:rsidRDefault="000E09FE">
            <w:pPr>
              <w:rPr>
                <w:rFonts w:ascii="Garamond" w:hAnsi="Garamond"/>
                <w:b/>
                <w:sz w:val="24"/>
              </w:rPr>
            </w:pPr>
            <w:r w:rsidRPr="000E09FE">
              <w:rPr>
                <w:rFonts w:ascii="Garamond" w:hAnsi="Garamond"/>
                <w:b/>
                <w:sz w:val="24"/>
              </w:rPr>
              <w:t>Conservative Party (26.8%)</w:t>
            </w:r>
          </w:p>
        </w:tc>
        <w:tc>
          <w:tcPr>
            <w:tcW w:w="2693" w:type="dxa"/>
          </w:tcPr>
          <w:p w:rsidR="00A205B2" w:rsidRDefault="00180B46">
            <w:pPr>
              <w:rPr>
                <w:rFonts w:ascii="Garamond" w:hAnsi="Garamond"/>
                <w:sz w:val="24"/>
              </w:rPr>
            </w:pPr>
            <w:r>
              <w:rPr>
                <w:rFonts w:ascii="Garamond" w:hAnsi="Garamond"/>
                <w:sz w:val="24"/>
              </w:rPr>
              <w:t>N/A (see Christian democratic parties)</w:t>
            </w:r>
          </w:p>
        </w:tc>
        <w:tc>
          <w:tcPr>
            <w:tcW w:w="2552" w:type="dxa"/>
          </w:tcPr>
          <w:p w:rsidR="00A205B2" w:rsidRDefault="00C5390A">
            <w:pPr>
              <w:rPr>
                <w:rFonts w:ascii="Garamond" w:hAnsi="Garamond"/>
                <w:sz w:val="24"/>
              </w:rPr>
            </w:pPr>
            <w:r>
              <w:rPr>
                <w:rFonts w:ascii="Garamond" w:hAnsi="Garamond"/>
                <w:sz w:val="24"/>
              </w:rPr>
              <w:t>Slovenian Democratic Party (20.7%)</w:t>
            </w:r>
          </w:p>
        </w:tc>
        <w:tc>
          <w:tcPr>
            <w:tcW w:w="2929" w:type="dxa"/>
          </w:tcPr>
          <w:p w:rsidR="00A205B2" w:rsidRPr="000E09FE" w:rsidRDefault="00A205B2">
            <w:pPr>
              <w:rPr>
                <w:rFonts w:ascii="Garamond" w:hAnsi="Garamond"/>
                <w:b/>
                <w:sz w:val="24"/>
              </w:rPr>
            </w:pPr>
            <w:r w:rsidRPr="000E09FE">
              <w:rPr>
                <w:rFonts w:ascii="Garamond" w:hAnsi="Garamond"/>
                <w:b/>
                <w:sz w:val="24"/>
              </w:rPr>
              <w:t>Conservative Party</w:t>
            </w:r>
            <w:r w:rsidRPr="000E09FE">
              <w:rPr>
                <w:rFonts w:ascii="Garamond" w:hAnsi="Garamond"/>
                <w:b/>
                <w:sz w:val="24"/>
              </w:rPr>
              <w:br/>
              <w:t>(36.8%)</w:t>
            </w:r>
          </w:p>
        </w:tc>
      </w:tr>
      <w:tr w:rsidR="00180B46" w:rsidTr="00180B46">
        <w:tc>
          <w:tcPr>
            <w:tcW w:w="1384" w:type="dxa"/>
          </w:tcPr>
          <w:p w:rsidR="00A205B2" w:rsidRPr="000E09FE" w:rsidRDefault="00A205B2">
            <w:pPr>
              <w:rPr>
                <w:rFonts w:ascii="Garamond" w:hAnsi="Garamond"/>
                <w:i/>
                <w:sz w:val="24"/>
              </w:rPr>
            </w:pPr>
            <w:r w:rsidRPr="000E09FE">
              <w:rPr>
                <w:rFonts w:ascii="Garamond" w:hAnsi="Garamond"/>
                <w:i/>
                <w:sz w:val="24"/>
              </w:rPr>
              <w:t>Socialist</w:t>
            </w:r>
          </w:p>
        </w:tc>
        <w:tc>
          <w:tcPr>
            <w:tcW w:w="2552" w:type="dxa"/>
          </w:tcPr>
          <w:p w:rsidR="00A205B2" w:rsidRDefault="00A205B2">
            <w:pPr>
              <w:rPr>
                <w:rFonts w:ascii="Garamond" w:hAnsi="Garamond"/>
                <w:sz w:val="24"/>
              </w:rPr>
            </w:pPr>
            <w:r>
              <w:rPr>
                <w:rFonts w:ascii="Garamond" w:hAnsi="Garamond"/>
                <w:sz w:val="24"/>
              </w:rPr>
              <w:t>Social Democrats (26.3%)</w:t>
            </w:r>
          </w:p>
        </w:tc>
        <w:tc>
          <w:tcPr>
            <w:tcW w:w="2551" w:type="dxa"/>
          </w:tcPr>
          <w:p w:rsidR="00A205B2" w:rsidRDefault="000E09FE">
            <w:pPr>
              <w:rPr>
                <w:rFonts w:ascii="Garamond" w:hAnsi="Garamond"/>
                <w:sz w:val="24"/>
              </w:rPr>
            </w:pPr>
            <w:r>
              <w:rPr>
                <w:rFonts w:ascii="Garamond" w:hAnsi="Garamond"/>
                <w:sz w:val="24"/>
              </w:rPr>
              <w:t>Labour Party (30.8%)</w:t>
            </w:r>
          </w:p>
        </w:tc>
        <w:tc>
          <w:tcPr>
            <w:tcW w:w="2693" w:type="dxa"/>
          </w:tcPr>
          <w:p w:rsidR="00A205B2" w:rsidRPr="000E09FE" w:rsidRDefault="000E09FE">
            <w:pPr>
              <w:rPr>
                <w:rFonts w:ascii="Garamond" w:hAnsi="Garamond"/>
                <w:b/>
                <w:sz w:val="24"/>
              </w:rPr>
            </w:pPr>
            <w:r w:rsidRPr="000E09FE">
              <w:rPr>
                <w:rFonts w:ascii="Garamond" w:hAnsi="Garamond"/>
                <w:b/>
                <w:sz w:val="24"/>
              </w:rPr>
              <w:t>Social Democratic Party (25.7%)</w:t>
            </w:r>
          </w:p>
        </w:tc>
        <w:tc>
          <w:tcPr>
            <w:tcW w:w="2552" w:type="dxa"/>
          </w:tcPr>
          <w:p w:rsidR="00A205B2" w:rsidRPr="0085499F" w:rsidRDefault="00C5390A">
            <w:pPr>
              <w:rPr>
                <w:rFonts w:ascii="Garamond" w:hAnsi="Garamond"/>
                <w:b/>
                <w:sz w:val="24"/>
              </w:rPr>
            </w:pPr>
            <w:r w:rsidRPr="0085499F">
              <w:rPr>
                <w:rFonts w:ascii="Garamond" w:hAnsi="Garamond"/>
                <w:b/>
                <w:sz w:val="24"/>
              </w:rPr>
              <w:t>Social Democrats (6.0%)</w:t>
            </w:r>
          </w:p>
        </w:tc>
        <w:tc>
          <w:tcPr>
            <w:tcW w:w="2929" w:type="dxa"/>
          </w:tcPr>
          <w:p w:rsidR="00A205B2" w:rsidRDefault="00A205B2">
            <w:pPr>
              <w:rPr>
                <w:rFonts w:ascii="Garamond" w:hAnsi="Garamond"/>
                <w:sz w:val="24"/>
              </w:rPr>
            </w:pPr>
            <w:r>
              <w:rPr>
                <w:rFonts w:ascii="Garamond" w:hAnsi="Garamond"/>
                <w:sz w:val="24"/>
              </w:rPr>
              <w:t>Labour Party (30.5%)</w:t>
            </w:r>
          </w:p>
        </w:tc>
      </w:tr>
      <w:tr w:rsidR="00180B46" w:rsidTr="00180B46">
        <w:tc>
          <w:tcPr>
            <w:tcW w:w="1384" w:type="dxa"/>
          </w:tcPr>
          <w:p w:rsidR="00A205B2" w:rsidRPr="000E09FE" w:rsidRDefault="00A205B2">
            <w:pPr>
              <w:rPr>
                <w:rFonts w:ascii="Garamond" w:hAnsi="Garamond"/>
                <w:i/>
                <w:sz w:val="24"/>
              </w:rPr>
            </w:pPr>
            <w:r w:rsidRPr="000E09FE">
              <w:rPr>
                <w:rFonts w:ascii="Garamond" w:hAnsi="Garamond"/>
                <w:i/>
                <w:sz w:val="24"/>
              </w:rPr>
              <w:t>Christian Democratic</w:t>
            </w:r>
          </w:p>
        </w:tc>
        <w:tc>
          <w:tcPr>
            <w:tcW w:w="2552" w:type="dxa"/>
          </w:tcPr>
          <w:p w:rsidR="00A205B2" w:rsidRDefault="004A1288" w:rsidP="004A1288">
            <w:pPr>
              <w:rPr>
                <w:rFonts w:ascii="Garamond" w:hAnsi="Garamond"/>
                <w:sz w:val="24"/>
              </w:rPr>
            </w:pPr>
            <w:r>
              <w:rPr>
                <w:rFonts w:ascii="Garamond" w:hAnsi="Garamond"/>
                <w:sz w:val="24"/>
              </w:rPr>
              <w:t>N/A (party exists but not represented since 2001)</w:t>
            </w:r>
          </w:p>
        </w:tc>
        <w:tc>
          <w:tcPr>
            <w:tcW w:w="2551" w:type="dxa"/>
          </w:tcPr>
          <w:p w:rsidR="00A205B2" w:rsidRDefault="000E09FE">
            <w:pPr>
              <w:rPr>
                <w:rFonts w:ascii="Garamond" w:hAnsi="Garamond"/>
                <w:sz w:val="24"/>
              </w:rPr>
            </w:pPr>
            <w:r>
              <w:rPr>
                <w:rFonts w:ascii="Garamond" w:hAnsi="Garamond"/>
                <w:sz w:val="24"/>
              </w:rPr>
              <w:t>Christian Democratic Party (5.6%)</w:t>
            </w:r>
          </w:p>
        </w:tc>
        <w:tc>
          <w:tcPr>
            <w:tcW w:w="2693" w:type="dxa"/>
          </w:tcPr>
          <w:p w:rsidR="00A205B2" w:rsidRPr="000E09FE" w:rsidRDefault="000E09FE" w:rsidP="00C5390A">
            <w:pPr>
              <w:rPr>
                <w:rFonts w:ascii="Garamond" w:hAnsi="Garamond"/>
                <w:b/>
                <w:sz w:val="24"/>
              </w:rPr>
            </w:pPr>
            <w:r w:rsidRPr="000E09FE">
              <w:rPr>
                <w:rFonts w:ascii="Garamond" w:hAnsi="Garamond"/>
                <w:b/>
                <w:sz w:val="24"/>
              </w:rPr>
              <w:t xml:space="preserve">Christian Democratic Union </w:t>
            </w:r>
            <w:r w:rsidR="00C5390A">
              <w:rPr>
                <w:rFonts w:ascii="Garamond" w:hAnsi="Garamond"/>
                <w:b/>
                <w:sz w:val="24"/>
              </w:rPr>
              <w:t xml:space="preserve">/ Christian Social Union </w:t>
            </w:r>
            <w:r w:rsidRPr="000E09FE">
              <w:rPr>
                <w:rFonts w:ascii="Garamond" w:hAnsi="Garamond"/>
                <w:b/>
                <w:sz w:val="24"/>
              </w:rPr>
              <w:t>(</w:t>
            </w:r>
            <w:r w:rsidR="00C5390A">
              <w:rPr>
                <w:rFonts w:ascii="Garamond" w:hAnsi="Garamond"/>
                <w:b/>
                <w:sz w:val="24"/>
              </w:rPr>
              <w:t>41.5</w:t>
            </w:r>
            <w:r w:rsidRPr="000E09FE">
              <w:rPr>
                <w:rFonts w:ascii="Garamond" w:hAnsi="Garamond"/>
                <w:b/>
                <w:sz w:val="24"/>
              </w:rPr>
              <w:t>%)</w:t>
            </w:r>
          </w:p>
        </w:tc>
        <w:tc>
          <w:tcPr>
            <w:tcW w:w="2552" w:type="dxa"/>
          </w:tcPr>
          <w:p w:rsidR="00A205B2" w:rsidRDefault="00C5390A">
            <w:pPr>
              <w:rPr>
                <w:rFonts w:ascii="Garamond" w:hAnsi="Garamond"/>
                <w:sz w:val="24"/>
              </w:rPr>
            </w:pPr>
            <w:r>
              <w:rPr>
                <w:rFonts w:ascii="Garamond" w:hAnsi="Garamond"/>
                <w:sz w:val="24"/>
              </w:rPr>
              <w:t>New Slovenia (5.6%)</w:t>
            </w:r>
          </w:p>
        </w:tc>
        <w:tc>
          <w:tcPr>
            <w:tcW w:w="2929" w:type="dxa"/>
          </w:tcPr>
          <w:p w:rsidR="00A205B2" w:rsidRDefault="00180B46">
            <w:pPr>
              <w:rPr>
                <w:rFonts w:ascii="Garamond" w:hAnsi="Garamond"/>
                <w:sz w:val="24"/>
              </w:rPr>
            </w:pPr>
            <w:r>
              <w:rPr>
                <w:rFonts w:ascii="Garamond" w:hAnsi="Garamond"/>
                <w:sz w:val="24"/>
              </w:rPr>
              <w:t>N/A</w:t>
            </w:r>
          </w:p>
        </w:tc>
      </w:tr>
      <w:tr w:rsidR="000E09FE" w:rsidTr="00180B46">
        <w:tc>
          <w:tcPr>
            <w:tcW w:w="1384" w:type="dxa"/>
          </w:tcPr>
          <w:p w:rsidR="000E09FE" w:rsidRPr="000E09FE" w:rsidRDefault="000E09FE">
            <w:pPr>
              <w:rPr>
                <w:rFonts w:ascii="Garamond" w:hAnsi="Garamond"/>
                <w:i/>
                <w:sz w:val="24"/>
              </w:rPr>
            </w:pPr>
            <w:r>
              <w:rPr>
                <w:rFonts w:ascii="Garamond" w:hAnsi="Garamond"/>
                <w:i/>
                <w:sz w:val="24"/>
              </w:rPr>
              <w:t>Agrarian</w:t>
            </w:r>
          </w:p>
        </w:tc>
        <w:tc>
          <w:tcPr>
            <w:tcW w:w="2552" w:type="dxa"/>
          </w:tcPr>
          <w:p w:rsidR="000E09FE" w:rsidRDefault="00180B46">
            <w:pPr>
              <w:rPr>
                <w:rFonts w:ascii="Garamond" w:hAnsi="Garamond"/>
                <w:sz w:val="24"/>
              </w:rPr>
            </w:pPr>
            <w:r w:rsidRPr="000E09FE">
              <w:rPr>
                <w:rFonts w:ascii="Garamond" w:hAnsi="Garamond"/>
                <w:b/>
                <w:sz w:val="24"/>
              </w:rPr>
              <w:t>Venstre (19.5%)</w:t>
            </w:r>
          </w:p>
        </w:tc>
        <w:tc>
          <w:tcPr>
            <w:tcW w:w="2551" w:type="dxa"/>
          </w:tcPr>
          <w:p w:rsidR="000E09FE" w:rsidRDefault="000E09FE">
            <w:pPr>
              <w:rPr>
                <w:rFonts w:ascii="Garamond" w:hAnsi="Garamond"/>
                <w:sz w:val="24"/>
              </w:rPr>
            </w:pPr>
            <w:r>
              <w:rPr>
                <w:rFonts w:ascii="Garamond" w:hAnsi="Garamond"/>
                <w:sz w:val="24"/>
              </w:rPr>
              <w:t>Centre Party (5.5%)</w:t>
            </w:r>
          </w:p>
        </w:tc>
        <w:tc>
          <w:tcPr>
            <w:tcW w:w="2693" w:type="dxa"/>
          </w:tcPr>
          <w:p w:rsidR="000E09FE" w:rsidRDefault="00180B46">
            <w:pPr>
              <w:rPr>
                <w:rFonts w:ascii="Garamond" w:hAnsi="Garamond"/>
                <w:sz w:val="24"/>
              </w:rPr>
            </w:pPr>
            <w:r>
              <w:rPr>
                <w:rFonts w:ascii="Garamond" w:hAnsi="Garamond"/>
                <w:sz w:val="24"/>
              </w:rPr>
              <w:t>N/A</w:t>
            </w:r>
          </w:p>
        </w:tc>
        <w:tc>
          <w:tcPr>
            <w:tcW w:w="2552" w:type="dxa"/>
          </w:tcPr>
          <w:p w:rsidR="000E09FE" w:rsidRDefault="00180B46">
            <w:pPr>
              <w:rPr>
                <w:rFonts w:ascii="Garamond" w:hAnsi="Garamond"/>
                <w:sz w:val="24"/>
              </w:rPr>
            </w:pPr>
            <w:r>
              <w:rPr>
                <w:rFonts w:ascii="Garamond" w:hAnsi="Garamond"/>
                <w:sz w:val="24"/>
              </w:rPr>
              <w:t>N/A</w:t>
            </w:r>
          </w:p>
        </w:tc>
        <w:tc>
          <w:tcPr>
            <w:tcW w:w="2929" w:type="dxa"/>
          </w:tcPr>
          <w:p w:rsidR="000E09FE" w:rsidRDefault="00180B46">
            <w:pPr>
              <w:rPr>
                <w:rFonts w:ascii="Garamond" w:hAnsi="Garamond"/>
                <w:sz w:val="24"/>
              </w:rPr>
            </w:pPr>
            <w:r>
              <w:rPr>
                <w:rFonts w:ascii="Garamond" w:hAnsi="Garamond"/>
                <w:sz w:val="24"/>
              </w:rPr>
              <w:t>N/A</w:t>
            </w:r>
          </w:p>
        </w:tc>
      </w:tr>
      <w:tr w:rsidR="00180B46" w:rsidTr="00180B46">
        <w:tc>
          <w:tcPr>
            <w:tcW w:w="1384" w:type="dxa"/>
          </w:tcPr>
          <w:p w:rsidR="00A205B2" w:rsidRPr="000E09FE" w:rsidRDefault="00A205B2">
            <w:pPr>
              <w:rPr>
                <w:rFonts w:ascii="Garamond" w:hAnsi="Garamond"/>
                <w:i/>
                <w:sz w:val="24"/>
              </w:rPr>
            </w:pPr>
            <w:r w:rsidRPr="000E09FE">
              <w:rPr>
                <w:rFonts w:ascii="Garamond" w:hAnsi="Garamond"/>
                <w:i/>
                <w:sz w:val="24"/>
              </w:rPr>
              <w:t>Liberal</w:t>
            </w:r>
          </w:p>
        </w:tc>
        <w:tc>
          <w:tcPr>
            <w:tcW w:w="2552" w:type="dxa"/>
          </w:tcPr>
          <w:p w:rsidR="00A205B2" w:rsidRDefault="000E09FE" w:rsidP="00FD726F">
            <w:pPr>
              <w:rPr>
                <w:rFonts w:ascii="Garamond" w:hAnsi="Garamond"/>
                <w:sz w:val="24"/>
              </w:rPr>
            </w:pPr>
            <w:r w:rsidRPr="000E09FE">
              <w:rPr>
                <w:rFonts w:ascii="Garamond" w:hAnsi="Garamond"/>
                <w:sz w:val="24"/>
              </w:rPr>
              <w:t>Liberal Alliance (7.5%)</w:t>
            </w:r>
            <w:r w:rsidR="00A205B2">
              <w:rPr>
                <w:rFonts w:ascii="Garamond" w:hAnsi="Garamond"/>
                <w:sz w:val="24"/>
              </w:rPr>
              <w:br/>
              <w:t xml:space="preserve">Danish </w:t>
            </w:r>
            <w:r w:rsidR="00FD726F">
              <w:rPr>
                <w:rFonts w:ascii="Garamond" w:hAnsi="Garamond"/>
                <w:sz w:val="24"/>
              </w:rPr>
              <w:t>Social (Radical)</w:t>
            </w:r>
            <w:r w:rsidR="00A205B2">
              <w:rPr>
                <w:rFonts w:ascii="Garamond" w:hAnsi="Garamond"/>
                <w:sz w:val="24"/>
              </w:rPr>
              <w:t xml:space="preserve"> Liberal Party (4.6%)</w:t>
            </w:r>
          </w:p>
        </w:tc>
        <w:tc>
          <w:tcPr>
            <w:tcW w:w="2551" w:type="dxa"/>
          </w:tcPr>
          <w:p w:rsidR="00A205B2" w:rsidRDefault="000E09FE">
            <w:pPr>
              <w:rPr>
                <w:rFonts w:ascii="Garamond" w:hAnsi="Garamond"/>
                <w:sz w:val="24"/>
              </w:rPr>
            </w:pPr>
            <w:r>
              <w:rPr>
                <w:rFonts w:ascii="Garamond" w:hAnsi="Garamond"/>
                <w:sz w:val="24"/>
              </w:rPr>
              <w:t>Liberal Party (5.2%)</w:t>
            </w:r>
          </w:p>
        </w:tc>
        <w:tc>
          <w:tcPr>
            <w:tcW w:w="2693" w:type="dxa"/>
          </w:tcPr>
          <w:p w:rsidR="00A205B2" w:rsidRPr="00180B46" w:rsidRDefault="00C5390A">
            <w:pPr>
              <w:rPr>
                <w:rFonts w:ascii="Garamond" w:hAnsi="Garamond"/>
                <w:sz w:val="24"/>
              </w:rPr>
            </w:pPr>
            <w:r w:rsidRPr="00180B46">
              <w:rPr>
                <w:rFonts w:ascii="Garamond" w:hAnsi="Garamond"/>
                <w:sz w:val="24"/>
              </w:rPr>
              <w:t>Free Democratic Party (4.8%)</w:t>
            </w:r>
            <w:r w:rsidR="00180B46">
              <w:rPr>
                <w:rFonts w:ascii="Garamond" w:hAnsi="Garamond"/>
                <w:sz w:val="24"/>
              </w:rPr>
              <w:t>*</w:t>
            </w:r>
            <w:r w:rsidR="0085499F" w:rsidRPr="00180B46">
              <w:rPr>
                <w:rFonts w:ascii="Garamond" w:hAnsi="Garamond"/>
                <w:sz w:val="24"/>
              </w:rPr>
              <w:br/>
            </w:r>
          </w:p>
        </w:tc>
        <w:tc>
          <w:tcPr>
            <w:tcW w:w="2552" w:type="dxa"/>
          </w:tcPr>
          <w:p w:rsidR="00A205B2" w:rsidRDefault="00C5390A">
            <w:pPr>
              <w:rPr>
                <w:rFonts w:ascii="Garamond" w:hAnsi="Garamond"/>
                <w:sz w:val="24"/>
              </w:rPr>
            </w:pPr>
            <w:r w:rsidRPr="0085499F">
              <w:rPr>
                <w:rFonts w:ascii="Garamond" w:hAnsi="Garamond"/>
                <w:b/>
                <w:sz w:val="24"/>
              </w:rPr>
              <w:t>Modern Centre Party (34.5%)</w:t>
            </w:r>
            <w:r w:rsidR="0085499F" w:rsidRPr="0085499F">
              <w:rPr>
                <w:rFonts w:ascii="Garamond" w:hAnsi="Garamond"/>
                <w:b/>
                <w:sz w:val="24"/>
              </w:rPr>
              <w:br/>
            </w:r>
            <w:r w:rsidR="0085499F" w:rsidRPr="0085499F">
              <w:rPr>
                <w:rFonts w:ascii="Garamond" w:hAnsi="Garamond"/>
                <w:sz w:val="24"/>
              </w:rPr>
              <w:t>Alliance of Alenka Bratušek</w:t>
            </w:r>
            <w:r w:rsidR="0085499F">
              <w:rPr>
                <w:rFonts w:ascii="Garamond" w:hAnsi="Garamond"/>
                <w:sz w:val="24"/>
              </w:rPr>
              <w:t xml:space="preserve"> (4.4%)</w:t>
            </w:r>
          </w:p>
        </w:tc>
        <w:tc>
          <w:tcPr>
            <w:tcW w:w="2929" w:type="dxa"/>
          </w:tcPr>
          <w:p w:rsidR="00A205B2" w:rsidRDefault="00A205B2">
            <w:pPr>
              <w:rPr>
                <w:rFonts w:ascii="Garamond" w:hAnsi="Garamond"/>
                <w:sz w:val="24"/>
              </w:rPr>
            </w:pPr>
            <w:r>
              <w:rPr>
                <w:rFonts w:ascii="Garamond" w:hAnsi="Garamond"/>
                <w:sz w:val="24"/>
              </w:rPr>
              <w:t>Liberal Democrats (7.9%)</w:t>
            </w:r>
          </w:p>
        </w:tc>
      </w:tr>
      <w:tr w:rsidR="00180B46" w:rsidTr="00180B46">
        <w:tc>
          <w:tcPr>
            <w:tcW w:w="1384" w:type="dxa"/>
          </w:tcPr>
          <w:p w:rsidR="00A205B2" w:rsidRPr="000E09FE" w:rsidRDefault="00A205B2">
            <w:pPr>
              <w:rPr>
                <w:rFonts w:ascii="Garamond" w:hAnsi="Garamond"/>
                <w:i/>
                <w:sz w:val="24"/>
              </w:rPr>
            </w:pPr>
            <w:r w:rsidRPr="000E09FE">
              <w:rPr>
                <w:rFonts w:ascii="Garamond" w:hAnsi="Garamond"/>
                <w:i/>
                <w:sz w:val="24"/>
              </w:rPr>
              <w:t>Green</w:t>
            </w:r>
          </w:p>
        </w:tc>
        <w:tc>
          <w:tcPr>
            <w:tcW w:w="2552" w:type="dxa"/>
          </w:tcPr>
          <w:p w:rsidR="00A205B2" w:rsidRDefault="00A205B2">
            <w:pPr>
              <w:rPr>
                <w:rFonts w:ascii="Garamond" w:hAnsi="Garamond"/>
                <w:sz w:val="24"/>
              </w:rPr>
            </w:pPr>
            <w:r>
              <w:rPr>
                <w:rFonts w:ascii="Garamond" w:hAnsi="Garamond"/>
                <w:sz w:val="24"/>
              </w:rPr>
              <w:t>The Alternative (4.8%)</w:t>
            </w:r>
            <w:r w:rsidR="000E09FE">
              <w:rPr>
                <w:rFonts w:ascii="Garamond" w:hAnsi="Garamond"/>
                <w:sz w:val="24"/>
              </w:rPr>
              <w:br/>
              <w:t>Socialist People’s Party (4.2%)</w:t>
            </w:r>
          </w:p>
        </w:tc>
        <w:tc>
          <w:tcPr>
            <w:tcW w:w="2551" w:type="dxa"/>
          </w:tcPr>
          <w:p w:rsidR="00A205B2" w:rsidRDefault="000E09FE">
            <w:pPr>
              <w:rPr>
                <w:rFonts w:ascii="Garamond" w:hAnsi="Garamond"/>
                <w:sz w:val="24"/>
              </w:rPr>
            </w:pPr>
            <w:r>
              <w:rPr>
                <w:rFonts w:ascii="Garamond" w:hAnsi="Garamond"/>
                <w:sz w:val="24"/>
              </w:rPr>
              <w:t>Green Party (2.8%)</w:t>
            </w:r>
          </w:p>
        </w:tc>
        <w:tc>
          <w:tcPr>
            <w:tcW w:w="2693" w:type="dxa"/>
          </w:tcPr>
          <w:p w:rsidR="00A205B2" w:rsidRDefault="000E09FE">
            <w:pPr>
              <w:rPr>
                <w:rFonts w:ascii="Garamond" w:hAnsi="Garamond"/>
                <w:sz w:val="24"/>
              </w:rPr>
            </w:pPr>
            <w:r>
              <w:rPr>
                <w:rFonts w:ascii="Garamond" w:hAnsi="Garamond"/>
                <w:sz w:val="24"/>
              </w:rPr>
              <w:t>The Greens (8.4%)</w:t>
            </w:r>
          </w:p>
        </w:tc>
        <w:tc>
          <w:tcPr>
            <w:tcW w:w="2552" w:type="dxa"/>
          </w:tcPr>
          <w:p w:rsidR="00A205B2" w:rsidRDefault="00180B46">
            <w:pPr>
              <w:rPr>
                <w:rFonts w:ascii="Garamond" w:hAnsi="Garamond"/>
                <w:sz w:val="24"/>
              </w:rPr>
            </w:pPr>
            <w:r>
              <w:rPr>
                <w:rFonts w:ascii="Garamond" w:hAnsi="Garamond"/>
                <w:sz w:val="24"/>
              </w:rPr>
              <w:t>N/A</w:t>
            </w:r>
          </w:p>
        </w:tc>
        <w:tc>
          <w:tcPr>
            <w:tcW w:w="2929" w:type="dxa"/>
          </w:tcPr>
          <w:p w:rsidR="00A205B2" w:rsidRDefault="00A205B2">
            <w:pPr>
              <w:rPr>
                <w:rFonts w:ascii="Garamond" w:hAnsi="Garamond"/>
                <w:sz w:val="24"/>
              </w:rPr>
            </w:pPr>
            <w:r>
              <w:rPr>
                <w:rFonts w:ascii="Garamond" w:hAnsi="Garamond"/>
                <w:sz w:val="24"/>
              </w:rPr>
              <w:t xml:space="preserve">Green Party of England and Wales </w:t>
            </w:r>
            <w:r>
              <w:rPr>
                <w:rFonts w:ascii="Garamond" w:hAnsi="Garamond"/>
                <w:sz w:val="24"/>
              </w:rPr>
              <w:br/>
              <w:t>(0.2%)</w:t>
            </w:r>
          </w:p>
        </w:tc>
      </w:tr>
      <w:tr w:rsidR="00180B46" w:rsidTr="00180B46">
        <w:tc>
          <w:tcPr>
            <w:tcW w:w="1384" w:type="dxa"/>
          </w:tcPr>
          <w:p w:rsidR="00A205B2" w:rsidRPr="000E09FE" w:rsidRDefault="00A205B2">
            <w:pPr>
              <w:rPr>
                <w:rFonts w:ascii="Garamond" w:hAnsi="Garamond"/>
                <w:i/>
                <w:sz w:val="24"/>
              </w:rPr>
            </w:pPr>
            <w:r w:rsidRPr="000E09FE">
              <w:rPr>
                <w:rFonts w:ascii="Garamond" w:hAnsi="Garamond"/>
                <w:i/>
                <w:sz w:val="24"/>
              </w:rPr>
              <w:t>‘New Left’</w:t>
            </w:r>
          </w:p>
        </w:tc>
        <w:tc>
          <w:tcPr>
            <w:tcW w:w="2552" w:type="dxa"/>
          </w:tcPr>
          <w:p w:rsidR="00A205B2" w:rsidRDefault="00A205B2">
            <w:pPr>
              <w:rPr>
                <w:rFonts w:ascii="Garamond" w:hAnsi="Garamond"/>
                <w:sz w:val="24"/>
              </w:rPr>
            </w:pPr>
            <w:r>
              <w:rPr>
                <w:rFonts w:ascii="Garamond" w:hAnsi="Garamond"/>
                <w:sz w:val="24"/>
              </w:rPr>
              <w:t>Red-Green Alliance (7.8%)</w:t>
            </w:r>
          </w:p>
        </w:tc>
        <w:tc>
          <w:tcPr>
            <w:tcW w:w="2551" w:type="dxa"/>
          </w:tcPr>
          <w:p w:rsidR="00A205B2" w:rsidRDefault="000E09FE">
            <w:pPr>
              <w:rPr>
                <w:rFonts w:ascii="Garamond" w:hAnsi="Garamond"/>
                <w:sz w:val="24"/>
              </w:rPr>
            </w:pPr>
            <w:r>
              <w:rPr>
                <w:rFonts w:ascii="Garamond" w:hAnsi="Garamond"/>
                <w:sz w:val="24"/>
              </w:rPr>
              <w:t>Socialist Left Party (4.1%)</w:t>
            </w:r>
          </w:p>
        </w:tc>
        <w:tc>
          <w:tcPr>
            <w:tcW w:w="2693" w:type="dxa"/>
          </w:tcPr>
          <w:p w:rsidR="00A205B2" w:rsidRDefault="000E09FE">
            <w:pPr>
              <w:rPr>
                <w:rFonts w:ascii="Garamond" w:hAnsi="Garamond"/>
                <w:sz w:val="24"/>
              </w:rPr>
            </w:pPr>
            <w:r>
              <w:rPr>
                <w:rFonts w:ascii="Garamond" w:hAnsi="Garamond"/>
                <w:sz w:val="24"/>
              </w:rPr>
              <w:t>Die Linke (8.6%)</w:t>
            </w:r>
          </w:p>
        </w:tc>
        <w:tc>
          <w:tcPr>
            <w:tcW w:w="2552" w:type="dxa"/>
          </w:tcPr>
          <w:p w:rsidR="00A205B2" w:rsidRDefault="00C5390A">
            <w:pPr>
              <w:rPr>
                <w:rFonts w:ascii="Garamond" w:hAnsi="Garamond"/>
                <w:sz w:val="24"/>
              </w:rPr>
            </w:pPr>
            <w:r>
              <w:rPr>
                <w:rFonts w:ascii="Garamond" w:hAnsi="Garamond"/>
                <w:sz w:val="24"/>
              </w:rPr>
              <w:t>United Left (6.0%)</w:t>
            </w:r>
          </w:p>
        </w:tc>
        <w:tc>
          <w:tcPr>
            <w:tcW w:w="2929" w:type="dxa"/>
          </w:tcPr>
          <w:p w:rsidR="00A205B2" w:rsidRDefault="00A205B2">
            <w:pPr>
              <w:rPr>
                <w:rFonts w:ascii="Garamond" w:hAnsi="Garamond"/>
                <w:sz w:val="24"/>
              </w:rPr>
            </w:pPr>
          </w:p>
        </w:tc>
      </w:tr>
      <w:tr w:rsidR="00180B46" w:rsidTr="00180B46">
        <w:tc>
          <w:tcPr>
            <w:tcW w:w="1384" w:type="dxa"/>
          </w:tcPr>
          <w:p w:rsidR="00A205B2" w:rsidRPr="000E09FE" w:rsidRDefault="00A205B2">
            <w:pPr>
              <w:rPr>
                <w:rFonts w:ascii="Garamond" w:hAnsi="Garamond"/>
                <w:i/>
                <w:sz w:val="24"/>
              </w:rPr>
            </w:pPr>
            <w:r w:rsidRPr="000E09FE">
              <w:rPr>
                <w:rFonts w:ascii="Garamond" w:hAnsi="Garamond"/>
                <w:i/>
                <w:sz w:val="24"/>
              </w:rPr>
              <w:t>Populist Right</w:t>
            </w:r>
          </w:p>
        </w:tc>
        <w:tc>
          <w:tcPr>
            <w:tcW w:w="2552" w:type="dxa"/>
          </w:tcPr>
          <w:p w:rsidR="00A205B2" w:rsidRDefault="00A205B2">
            <w:pPr>
              <w:rPr>
                <w:rFonts w:ascii="Garamond" w:hAnsi="Garamond"/>
                <w:sz w:val="24"/>
              </w:rPr>
            </w:pPr>
            <w:r>
              <w:rPr>
                <w:rFonts w:ascii="Garamond" w:hAnsi="Garamond"/>
                <w:sz w:val="24"/>
              </w:rPr>
              <w:t>Danish People’s Party (21.1%)</w:t>
            </w:r>
          </w:p>
        </w:tc>
        <w:tc>
          <w:tcPr>
            <w:tcW w:w="2551" w:type="dxa"/>
          </w:tcPr>
          <w:p w:rsidR="00A205B2" w:rsidRPr="000E09FE" w:rsidRDefault="000E09FE">
            <w:pPr>
              <w:rPr>
                <w:rFonts w:ascii="Garamond" w:hAnsi="Garamond"/>
                <w:b/>
                <w:sz w:val="24"/>
              </w:rPr>
            </w:pPr>
            <w:r w:rsidRPr="000E09FE">
              <w:rPr>
                <w:rFonts w:ascii="Garamond" w:hAnsi="Garamond"/>
                <w:b/>
                <w:sz w:val="24"/>
              </w:rPr>
              <w:t>Progress Party (16.3%)</w:t>
            </w:r>
          </w:p>
        </w:tc>
        <w:tc>
          <w:tcPr>
            <w:tcW w:w="2693" w:type="dxa"/>
          </w:tcPr>
          <w:p w:rsidR="00A205B2" w:rsidRPr="00180B46" w:rsidRDefault="00C5390A">
            <w:pPr>
              <w:rPr>
                <w:rFonts w:ascii="Garamond" w:hAnsi="Garamond"/>
                <w:sz w:val="24"/>
              </w:rPr>
            </w:pPr>
            <w:r w:rsidRPr="00180B46">
              <w:rPr>
                <w:rFonts w:ascii="Garamond" w:hAnsi="Garamond"/>
                <w:sz w:val="24"/>
              </w:rPr>
              <w:t>Alternative for Germany (4.7%)</w:t>
            </w:r>
            <w:r w:rsidR="00180B46">
              <w:rPr>
                <w:rFonts w:ascii="Garamond" w:hAnsi="Garamond"/>
                <w:sz w:val="24"/>
              </w:rPr>
              <w:t>*</w:t>
            </w:r>
          </w:p>
        </w:tc>
        <w:tc>
          <w:tcPr>
            <w:tcW w:w="2552" w:type="dxa"/>
          </w:tcPr>
          <w:p w:rsidR="00A205B2" w:rsidRDefault="00A205B2">
            <w:pPr>
              <w:rPr>
                <w:rFonts w:ascii="Garamond" w:hAnsi="Garamond"/>
                <w:sz w:val="24"/>
              </w:rPr>
            </w:pPr>
          </w:p>
        </w:tc>
        <w:tc>
          <w:tcPr>
            <w:tcW w:w="2929" w:type="dxa"/>
          </w:tcPr>
          <w:p w:rsidR="00A205B2" w:rsidRDefault="00A205B2">
            <w:pPr>
              <w:rPr>
                <w:rFonts w:ascii="Garamond" w:hAnsi="Garamond"/>
                <w:sz w:val="24"/>
              </w:rPr>
            </w:pPr>
            <w:r>
              <w:rPr>
                <w:rFonts w:ascii="Garamond" w:hAnsi="Garamond"/>
                <w:sz w:val="24"/>
              </w:rPr>
              <w:t xml:space="preserve">UK Independence Party </w:t>
            </w:r>
            <w:r>
              <w:rPr>
                <w:rFonts w:ascii="Garamond" w:hAnsi="Garamond"/>
                <w:sz w:val="24"/>
              </w:rPr>
              <w:br/>
              <w:t>(0.2%)</w:t>
            </w:r>
          </w:p>
        </w:tc>
      </w:tr>
      <w:tr w:rsidR="00180B46" w:rsidTr="00180B46">
        <w:tc>
          <w:tcPr>
            <w:tcW w:w="1384" w:type="dxa"/>
          </w:tcPr>
          <w:p w:rsidR="00A205B2" w:rsidRPr="000E09FE" w:rsidRDefault="00A205B2">
            <w:pPr>
              <w:rPr>
                <w:rFonts w:ascii="Garamond" w:hAnsi="Garamond"/>
                <w:i/>
                <w:sz w:val="24"/>
              </w:rPr>
            </w:pPr>
            <w:r w:rsidRPr="000E09FE">
              <w:rPr>
                <w:rFonts w:ascii="Garamond" w:hAnsi="Garamond"/>
                <w:i/>
                <w:sz w:val="24"/>
              </w:rPr>
              <w:t>Other</w:t>
            </w:r>
          </w:p>
        </w:tc>
        <w:tc>
          <w:tcPr>
            <w:tcW w:w="2552" w:type="dxa"/>
          </w:tcPr>
          <w:p w:rsidR="00A205B2" w:rsidRDefault="00A205B2">
            <w:pPr>
              <w:rPr>
                <w:rFonts w:ascii="Garamond" w:hAnsi="Garamond"/>
                <w:sz w:val="24"/>
              </w:rPr>
            </w:pPr>
          </w:p>
        </w:tc>
        <w:tc>
          <w:tcPr>
            <w:tcW w:w="2551" w:type="dxa"/>
          </w:tcPr>
          <w:p w:rsidR="00A205B2" w:rsidRDefault="00A205B2">
            <w:pPr>
              <w:rPr>
                <w:rFonts w:ascii="Garamond" w:hAnsi="Garamond"/>
                <w:sz w:val="24"/>
              </w:rPr>
            </w:pPr>
          </w:p>
        </w:tc>
        <w:tc>
          <w:tcPr>
            <w:tcW w:w="2693" w:type="dxa"/>
          </w:tcPr>
          <w:p w:rsidR="00A205B2" w:rsidRDefault="00A205B2">
            <w:pPr>
              <w:rPr>
                <w:rFonts w:ascii="Garamond" w:hAnsi="Garamond"/>
                <w:sz w:val="24"/>
              </w:rPr>
            </w:pPr>
          </w:p>
        </w:tc>
        <w:tc>
          <w:tcPr>
            <w:tcW w:w="2552" w:type="dxa"/>
          </w:tcPr>
          <w:p w:rsidR="00A205B2" w:rsidRPr="0085499F" w:rsidRDefault="0085499F">
            <w:pPr>
              <w:rPr>
                <w:rFonts w:ascii="Garamond" w:hAnsi="Garamond"/>
                <w:b/>
                <w:sz w:val="24"/>
              </w:rPr>
            </w:pPr>
            <w:r w:rsidRPr="0085499F">
              <w:rPr>
                <w:rFonts w:ascii="Garamond" w:hAnsi="Garamond"/>
                <w:b/>
                <w:sz w:val="24"/>
              </w:rPr>
              <w:t>Democratic Party of Pensioners of Slovenia (10.2%)</w:t>
            </w:r>
          </w:p>
        </w:tc>
        <w:tc>
          <w:tcPr>
            <w:tcW w:w="2929" w:type="dxa"/>
          </w:tcPr>
          <w:p w:rsidR="00A205B2" w:rsidRDefault="00A205B2">
            <w:pPr>
              <w:rPr>
                <w:rFonts w:ascii="Garamond" w:hAnsi="Garamond"/>
                <w:sz w:val="24"/>
              </w:rPr>
            </w:pPr>
            <w:r>
              <w:rPr>
                <w:rFonts w:ascii="Garamond" w:hAnsi="Garamond"/>
                <w:sz w:val="24"/>
              </w:rPr>
              <w:t xml:space="preserve">Scottish National Party </w:t>
            </w:r>
            <w:r>
              <w:rPr>
                <w:rFonts w:ascii="Garamond" w:hAnsi="Garamond"/>
                <w:sz w:val="24"/>
              </w:rPr>
              <w:br/>
              <w:t>(4.7%)</w:t>
            </w:r>
            <w:r>
              <w:rPr>
                <w:rFonts w:ascii="Garamond" w:hAnsi="Garamond"/>
                <w:sz w:val="24"/>
              </w:rPr>
              <w:br/>
              <w:t>Plaid Cymru (0.6%)</w:t>
            </w:r>
          </w:p>
        </w:tc>
      </w:tr>
    </w:tbl>
    <w:p w:rsidR="00180B46" w:rsidRPr="00896A56" w:rsidRDefault="00180B46" w:rsidP="00180B46">
      <w:pPr>
        <w:rPr>
          <w:rFonts w:ascii="Garamond" w:hAnsi="Garamond"/>
          <w:sz w:val="20"/>
        </w:rPr>
        <w:sectPr w:rsidR="00180B46" w:rsidRPr="00896A56" w:rsidSect="0085499F">
          <w:pgSz w:w="16838" w:h="11906" w:orient="landscape"/>
          <w:pgMar w:top="1440" w:right="1440" w:bottom="1440" w:left="1440" w:header="708" w:footer="708" w:gutter="0"/>
          <w:cols w:space="708"/>
          <w:docGrid w:linePitch="360"/>
        </w:sectPr>
      </w:pPr>
      <w:r w:rsidRPr="00896A56">
        <w:rPr>
          <w:rFonts w:ascii="Garamond" w:hAnsi="Garamond"/>
          <w:sz w:val="20"/>
        </w:rPr>
        <w:t>Note: Parties in bold are currently in government.</w:t>
      </w:r>
      <w:r w:rsidRPr="00896A56">
        <w:rPr>
          <w:rFonts w:ascii="Garamond" w:hAnsi="Garamond"/>
          <w:sz w:val="20"/>
        </w:rPr>
        <w:br/>
        <w:t>* These parties are not represented in the Bundestag, but hold seats in State parliaments and in the European Parliament.</w:t>
      </w:r>
    </w:p>
    <w:p w:rsidR="00C17411" w:rsidRDefault="00C17411" w:rsidP="00C17411">
      <w:pPr>
        <w:jc w:val="both"/>
        <w:rPr>
          <w:rFonts w:ascii="Garamond" w:hAnsi="Garamond"/>
          <w:sz w:val="24"/>
          <w:szCs w:val="24"/>
        </w:rPr>
      </w:pPr>
      <w:r>
        <w:rPr>
          <w:rFonts w:ascii="Garamond" w:hAnsi="Garamond"/>
          <w:sz w:val="24"/>
          <w:szCs w:val="24"/>
        </w:rPr>
        <w:lastRenderedPageBreak/>
        <w:t>Table 1 offers a comparative overview of party performances in the most recent national elections, per party family. In the five countries analysed within the framework of the WelfSOC project, the most recent election results led to the formation of predominantly right-wing governments or coalition governments.</w:t>
      </w:r>
      <w:r w:rsidR="00B93854">
        <w:rPr>
          <w:rFonts w:ascii="Garamond" w:hAnsi="Garamond"/>
          <w:sz w:val="24"/>
          <w:szCs w:val="24"/>
        </w:rPr>
        <w:t xml:space="preserve"> </w:t>
      </w:r>
      <w:r>
        <w:rPr>
          <w:rFonts w:ascii="Garamond" w:hAnsi="Garamond"/>
          <w:sz w:val="24"/>
          <w:szCs w:val="24"/>
        </w:rPr>
        <w:t xml:space="preserve">In Denmark, the liberal Venstre formed a single-party minority government, succeeding to the left-wing coalition led by </w:t>
      </w:r>
      <w:r w:rsidRPr="00A21EBF">
        <w:rPr>
          <w:rFonts w:ascii="Garamond" w:hAnsi="Garamond"/>
          <w:sz w:val="24"/>
          <w:szCs w:val="24"/>
        </w:rPr>
        <w:t>Helle Thorning-Schmidt</w:t>
      </w:r>
      <w:r>
        <w:rPr>
          <w:rFonts w:ascii="Garamond" w:hAnsi="Garamond"/>
          <w:sz w:val="24"/>
          <w:szCs w:val="24"/>
        </w:rPr>
        <w:t xml:space="preserve"> between 2011 and 2015. In Norway, the Conservative Party allied with the populist-right Progress Party in 2013, succeeding to a Labour-led coalition</w:t>
      </w:r>
      <w:r w:rsidR="00582E14">
        <w:rPr>
          <w:rFonts w:ascii="Garamond" w:hAnsi="Garamond"/>
          <w:sz w:val="24"/>
          <w:szCs w:val="24"/>
        </w:rPr>
        <w:t xml:space="preserve">. German politics has been dominated by the Christian </w:t>
      </w:r>
      <w:r w:rsidR="0010387D">
        <w:rPr>
          <w:rFonts w:ascii="Garamond" w:hAnsi="Garamond"/>
          <w:sz w:val="24"/>
          <w:szCs w:val="24"/>
        </w:rPr>
        <w:t>D</w:t>
      </w:r>
      <w:r w:rsidR="00582E14">
        <w:rPr>
          <w:rFonts w:ascii="Garamond" w:hAnsi="Garamond"/>
          <w:sz w:val="24"/>
          <w:szCs w:val="24"/>
        </w:rPr>
        <w:t xml:space="preserve">emocratic </w:t>
      </w:r>
      <w:r w:rsidR="0010387D">
        <w:rPr>
          <w:rFonts w:ascii="Garamond" w:hAnsi="Garamond"/>
          <w:sz w:val="24"/>
          <w:szCs w:val="24"/>
        </w:rPr>
        <w:t>Union</w:t>
      </w:r>
      <w:r w:rsidR="00582E14">
        <w:rPr>
          <w:rFonts w:ascii="Garamond" w:hAnsi="Garamond"/>
          <w:sz w:val="24"/>
          <w:szCs w:val="24"/>
        </w:rPr>
        <w:t xml:space="preserve"> since 2005, and following the 2013 federal election, a grand coalition including the Social Democratic Party as junior partner was formed.</w:t>
      </w:r>
      <w:r>
        <w:rPr>
          <w:rFonts w:ascii="Garamond" w:hAnsi="Garamond"/>
          <w:sz w:val="24"/>
          <w:szCs w:val="24"/>
        </w:rPr>
        <w:t xml:space="preserve"> </w:t>
      </w:r>
      <w:r w:rsidR="00B93854">
        <w:rPr>
          <w:rFonts w:ascii="Garamond" w:hAnsi="Garamond"/>
          <w:sz w:val="24"/>
          <w:szCs w:val="24"/>
        </w:rPr>
        <w:t>In Slovenia, the newly formed Modern Centre Party</w:t>
      </w:r>
      <w:r w:rsidR="006D791D">
        <w:rPr>
          <w:rFonts w:ascii="Garamond" w:hAnsi="Garamond"/>
          <w:sz w:val="24"/>
          <w:szCs w:val="24"/>
        </w:rPr>
        <w:t xml:space="preserve"> won the 2014 parliamentary elections and formed a centre-left majority coalition.</w:t>
      </w:r>
      <w:r w:rsidR="000F1DF2">
        <w:rPr>
          <w:rFonts w:ascii="Garamond" w:hAnsi="Garamond"/>
          <w:sz w:val="24"/>
          <w:szCs w:val="24"/>
        </w:rPr>
        <w:t xml:space="preserve"> Finally, in the United Kingdom, the Conservative Party surprisingly won a majority of seats in the House of Commons, and was able to form a majority government in May 2015. </w:t>
      </w:r>
      <w:r w:rsidR="004500CF">
        <w:rPr>
          <w:rFonts w:ascii="Garamond" w:hAnsi="Garamond"/>
          <w:sz w:val="24"/>
          <w:szCs w:val="24"/>
        </w:rPr>
        <w:t xml:space="preserve">Based </w:t>
      </w:r>
      <w:r w:rsidR="00D11280">
        <w:rPr>
          <w:rFonts w:ascii="Garamond" w:hAnsi="Garamond"/>
          <w:sz w:val="24"/>
          <w:szCs w:val="24"/>
        </w:rPr>
        <w:t>on each national background paper, t</w:t>
      </w:r>
      <w:r>
        <w:rPr>
          <w:rFonts w:ascii="Garamond" w:hAnsi="Garamond"/>
          <w:sz w:val="24"/>
          <w:szCs w:val="24"/>
        </w:rPr>
        <w:t xml:space="preserve">his section will </w:t>
      </w:r>
      <w:r w:rsidR="00D11280">
        <w:rPr>
          <w:rFonts w:ascii="Garamond" w:hAnsi="Garamond"/>
          <w:sz w:val="24"/>
          <w:szCs w:val="24"/>
        </w:rPr>
        <w:t>offer a summary of</w:t>
      </w:r>
      <w:r>
        <w:rPr>
          <w:rFonts w:ascii="Garamond" w:hAnsi="Garamond"/>
          <w:sz w:val="24"/>
          <w:szCs w:val="24"/>
        </w:rPr>
        <w:t xml:space="preserve"> </w:t>
      </w:r>
      <w:r w:rsidR="00D11280">
        <w:rPr>
          <w:rFonts w:ascii="Garamond" w:hAnsi="Garamond"/>
          <w:sz w:val="24"/>
          <w:szCs w:val="24"/>
        </w:rPr>
        <w:t xml:space="preserve">recent </w:t>
      </w:r>
      <w:r>
        <w:rPr>
          <w:rFonts w:ascii="Garamond" w:hAnsi="Garamond"/>
          <w:sz w:val="24"/>
          <w:szCs w:val="24"/>
        </w:rPr>
        <w:t>political developments in each country</w:t>
      </w:r>
      <w:r w:rsidR="004500CF">
        <w:rPr>
          <w:rFonts w:ascii="Garamond" w:hAnsi="Garamond"/>
          <w:sz w:val="24"/>
          <w:szCs w:val="24"/>
        </w:rPr>
        <w:t xml:space="preserve"> with regards to the politics of the welfare state</w:t>
      </w:r>
      <w:r w:rsidR="00D11280">
        <w:rPr>
          <w:rFonts w:ascii="Garamond" w:hAnsi="Garamond"/>
          <w:sz w:val="24"/>
          <w:szCs w:val="24"/>
        </w:rPr>
        <w:t>,</w:t>
      </w:r>
      <w:r>
        <w:rPr>
          <w:rFonts w:ascii="Garamond" w:hAnsi="Garamond"/>
          <w:sz w:val="24"/>
          <w:szCs w:val="24"/>
        </w:rPr>
        <w:t xml:space="preserve"> as well as some of the most recent policy responses </w:t>
      </w:r>
      <w:r w:rsidR="004500CF">
        <w:rPr>
          <w:rFonts w:ascii="Garamond" w:hAnsi="Garamond"/>
          <w:sz w:val="24"/>
          <w:szCs w:val="24"/>
        </w:rPr>
        <w:t xml:space="preserve">to the Great Recession </w:t>
      </w:r>
      <w:r>
        <w:rPr>
          <w:rFonts w:ascii="Garamond" w:hAnsi="Garamond"/>
          <w:sz w:val="24"/>
          <w:szCs w:val="24"/>
        </w:rPr>
        <w:t xml:space="preserve">advocated by </w:t>
      </w:r>
      <w:r w:rsidR="004500CF">
        <w:rPr>
          <w:rFonts w:ascii="Garamond" w:hAnsi="Garamond"/>
          <w:sz w:val="24"/>
          <w:szCs w:val="24"/>
        </w:rPr>
        <w:t>political elites</w:t>
      </w:r>
      <w:r>
        <w:rPr>
          <w:rFonts w:ascii="Garamond" w:hAnsi="Garamond"/>
          <w:sz w:val="24"/>
          <w:szCs w:val="24"/>
        </w:rPr>
        <w:t>.</w:t>
      </w:r>
      <w:r w:rsidR="00D11280">
        <w:rPr>
          <w:rFonts w:ascii="Garamond" w:hAnsi="Garamond"/>
          <w:sz w:val="24"/>
          <w:szCs w:val="24"/>
        </w:rPr>
        <w:t xml:space="preserve"> </w:t>
      </w:r>
    </w:p>
    <w:p w:rsidR="000F1DF2" w:rsidRPr="00DC0A4B" w:rsidRDefault="00BC597A" w:rsidP="00C17411">
      <w:pPr>
        <w:jc w:val="both"/>
        <w:rPr>
          <w:rFonts w:ascii="Garamond" w:hAnsi="Garamond"/>
          <w:i/>
          <w:sz w:val="28"/>
          <w:szCs w:val="24"/>
          <w:u w:val="single"/>
        </w:rPr>
      </w:pPr>
      <w:r w:rsidRPr="00DC0A4B">
        <w:rPr>
          <w:rFonts w:ascii="Garamond" w:hAnsi="Garamond"/>
          <w:i/>
          <w:sz w:val="28"/>
          <w:szCs w:val="24"/>
          <w:u w:val="single"/>
        </w:rPr>
        <w:t>Denmark</w:t>
      </w:r>
    </w:p>
    <w:p w:rsidR="00CE54BB" w:rsidRDefault="004B7A52" w:rsidP="00C17411">
      <w:pPr>
        <w:jc w:val="both"/>
        <w:rPr>
          <w:rFonts w:ascii="Garamond" w:hAnsi="Garamond"/>
          <w:sz w:val="24"/>
          <w:szCs w:val="24"/>
        </w:rPr>
      </w:pPr>
      <w:r>
        <w:rPr>
          <w:rFonts w:ascii="Garamond" w:hAnsi="Garamond"/>
          <w:sz w:val="24"/>
          <w:szCs w:val="24"/>
        </w:rPr>
        <w:t>Denmark is a country with a strong tradition of social democratic and centre-left governments.</w:t>
      </w:r>
      <w:r w:rsidR="00CE54BB">
        <w:rPr>
          <w:rFonts w:ascii="Garamond" w:hAnsi="Garamond"/>
          <w:sz w:val="24"/>
          <w:szCs w:val="24"/>
        </w:rPr>
        <w:t xml:space="preserve"> In 2001, a centre-right government was formed under the leadership of Anders Fogh Rasmussen, consisting of the Liberal Party and the Conservative People’s Party. This centre-right government was the first one in 80 years that was able to rule without the support from the social-liberal Radical Liberal Party. The success of right-wing political parties is exp</w:t>
      </w:r>
      <w:r w:rsidR="00FD726F">
        <w:rPr>
          <w:rFonts w:ascii="Garamond" w:hAnsi="Garamond"/>
          <w:sz w:val="24"/>
          <w:szCs w:val="24"/>
        </w:rPr>
        <w:t>l</w:t>
      </w:r>
      <w:r w:rsidR="00CE54BB">
        <w:rPr>
          <w:rFonts w:ascii="Garamond" w:hAnsi="Garamond"/>
          <w:sz w:val="24"/>
          <w:szCs w:val="24"/>
        </w:rPr>
        <w:t xml:space="preserve">ained by three main factors (as summarised in the Danish background paper, pp. 8-9): </w:t>
      </w:r>
    </w:p>
    <w:p w:rsidR="00795174" w:rsidRDefault="00CE54BB" w:rsidP="00795174">
      <w:pPr>
        <w:spacing w:after="0"/>
        <w:ind w:left="567" w:right="567"/>
        <w:jc w:val="both"/>
        <w:rPr>
          <w:rFonts w:ascii="Garamond" w:hAnsi="Garamond" w:cs="Times New Roman"/>
          <w:sz w:val="24"/>
          <w:szCs w:val="24"/>
        </w:rPr>
      </w:pPr>
      <w:r w:rsidRPr="00CE54BB">
        <w:rPr>
          <w:rFonts w:ascii="Garamond" w:hAnsi="Garamond" w:cs="Times New Roman"/>
          <w:sz w:val="24"/>
          <w:szCs w:val="24"/>
        </w:rPr>
        <w:t>(1) A strong mobilization on the issue of immigration, not only for the anti-immigration Danish People’s Party, but also by the Liberal party;</w:t>
      </w:r>
    </w:p>
    <w:p w:rsidR="00CE54BB" w:rsidRPr="00CE54BB" w:rsidRDefault="00CE54BB" w:rsidP="00795174">
      <w:pPr>
        <w:spacing w:after="0"/>
        <w:ind w:left="567" w:right="567"/>
        <w:jc w:val="both"/>
        <w:rPr>
          <w:rFonts w:ascii="Garamond" w:hAnsi="Garamond" w:cs="Times New Roman"/>
          <w:sz w:val="24"/>
          <w:szCs w:val="24"/>
        </w:rPr>
      </w:pPr>
      <w:r w:rsidRPr="00CE54BB">
        <w:rPr>
          <w:rFonts w:ascii="Garamond" w:hAnsi="Garamond" w:cs="Times New Roman"/>
          <w:sz w:val="24"/>
          <w:szCs w:val="24"/>
        </w:rPr>
        <w:t xml:space="preserve">(2) A significant turn away from “minimal state” ideas towards pro-welfare policy as regards the Liberal Party. After the electoral defeat in 1998, the new party leader Anders Fogh Rasmussen systematically searched for issues of symbolic importance (preferably with moderate costs) where he could overtake the Social Democratic-Radical Liberal government to the left. </w:t>
      </w:r>
    </w:p>
    <w:p w:rsidR="00CE54BB" w:rsidRPr="00CE54BB" w:rsidRDefault="00CE54BB" w:rsidP="00795174">
      <w:pPr>
        <w:spacing w:after="0"/>
        <w:ind w:left="567" w:right="567"/>
        <w:jc w:val="both"/>
        <w:rPr>
          <w:rFonts w:ascii="Garamond" w:hAnsi="Garamond" w:cs="Times New Roman"/>
          <w:sz w:val="24"/>
          <w:szCs w:val="24"/>
        </w:rPr>
      </w:pPr>
      <w:r w:rsidRPr="00CE54BB">
        <w:rPr>
          <w:rFonts w:ascii="Garamond" w:hAnsi="Garamond" w:cs="Times New Roman"/>
          <w:sz w:val="24"/>
          <w:szCs w:val="24"/>
        </w:rPr>
        <w:t xml:space="preserve">(3) At the same time, the Danish People’s Party quickly abandoned its welfare sceptical and neoliberal ideas (a legacy from the Progress Party) in favour of a centrist, but welfare chauvinist, stance, giving priority to welfare improvements that benefited workers and the elderly. </w:t>
      </w:r>
    </w:p>
    <w:p w:rsidR="00FD5B73" w:rsidRDefault="00FD5B73" w:rsidP="00C17411">
      <w:pPr>
        <w:jc w:val="both"/>
        <w:rPr>
          <w:rFonts w:ascii="Garamond" w:hAnsi="Garamond"/>
          <w:sz w:val="24"/>
          <w:szCs w:val="24"/>
        </w:rPr>
      </w:pPr>
    </w:p>
    <w:p w:rsidR="00F34514" w:rsidRDefault="00FD5B73" w:rsidP="00C17411">
      <w:pPr>
        <w:jc w:val="both"/>
        <w:rPr>
          <w:rFonts w:ascii="Garamond" w:hAnsi="Garamond"/>
          <w:sz w:val="24"/>
          <w:szCs w:val="24"/>
        </w:rPr>
      </w:pPr>
      <w:r>
        <w:rPr>
          <w:rFonts w:ascii="Garamond" w:hAnsi="Garamond"/>
          <w:sz w:val="24"/>
          <w:szCs w:val="24"/>
        </w:rPr>
        <w:t>The latter factor is of particular importance in order to understand major political and attitudinal trends in Denmark. Welfare chauvinism</w:t>
      </w:r>
      <w:r w:rsidR="00F34514">
        <w:rPr>
          <w:rFonts w:ascii="Garamond" w:hAnsi="Garamond"/>
          <w:sz w:val="24"/>
          <w:szCs w:val="24"/>
        </w:rPr>
        <w:t xml:space="preserve"> has effectively been a “hot issue” in Danish politics for the past 30 years, and has been successfully exploited by the Danish People’s Party. </w:t>
      </w:r>
    </w:p>
    <w:p w:rsidR="00FD5B73" w:rsidRDefault="00F34514" w:rsidP="00C17411">
      <w:pPr>
        <w:jc w:val="both"/>
        <w:rPr>
          <w:rFonts w:ascii="Garamond" w:hAnsi="Garamond"/>
          <w:sz w:val="24"/>
          <w:szCs w:val="24"/>
        </w:rPr>
      </w:pPr>
      <w:r>
        <w:rPr>
          <w:rFonts w:ascii="Garamond" w:hAnsi="Garamond"/>
          <w:sz w:val="24"/>
          <w:szCs w:val="24"/>
        </w:rPr>
        <w:t xml:space="preserve">Prior to the Great Recession, this right-wing government introduced restrictive policies towards immigrants, </w:t>
      </w:r>
      <w:r w:rsidR="00794524">
        <w:rPr>
          <w:rFonts w:ascii="Garamond" w:hAnsi="Garamond"/>
          <w:sz w:val="24"/>
          <w:szCs w:val="24"/>
        </w:rPr>
        <w:t>adopted a “work first” approach</w:t>
      </w:r>
      <w:r w:rsidR="002B7203">
        <w:rPr>
          <w:rFonts w:ascii="Garamond" w:hAnsi="Garamond"/>
          <w:sz w:val="24"/>
          <w:szCs w:val="24"/>
        </w:rPr>
        <w:t xml:space="preserve"> and reduced taxation twice (in 2003/2004 and 2007)</w:t>
      </w:r>
      <w:r w:rsidR="00794524">
        <w:rPr>
          <w:rFonts w:ascii="Garamond" w:hAnsi="Garamond"/>
          <w:sz w:val="24"/>
          <w:szCs w:val="24"/>
        </w:rPr>
        <w:t>.</w:t>
      </w:r>
      <w:r w:rsidR="002B44D5">
        <w:rPr>
          <w:rFonts w:ascii="Garamond" w:hAnsi="Garamond"/>
          <w:sz w:val="24"/>
          <w:szCs w:val="24"/>
        </w:rPr>
        <w:t xml:space="preserve"> Yet, no structural reforms were engaged.</w:t>
      </w:r>
      <w:r w:rsidR="00A46A0F">
        <w:rPr>
          <w:rFonts w:ascii="Garamond" w:hAnsi="Garamond"/>
          <w:sz w:val="24"/>
          <w:szCs w:val="24"/>
        </w:rPr>
        <w:t xml:space="preserve"> </w:t>
      </w:r>
      <w:r w:rsidR="002B44D5">
        <w:rPr>
          <w:rFonts w:ascii="Garamond" w:hAnsi="Garamond"/>
          <w:sz w:val="24"/>
          <w:szCs w:val="24"/>
        </w:rPr>
        <w:t xml:space="preserve">The Great </w:t>
      </w:r>
      <w:r w:rsidR="007B75AE">
        <w:rPr>
          <w:rFonts w:ascii="Garamond" w:hAnsi="Garamond"/>
          <w:sz w:val="24"/>
          <w:szCs w:val="24"/>
        </w:rPr>
        <w:t>Recession, which</w:t>
      </w:r>
      <w:r w:rsidR="002B44D5">
        <w:rPr>
          <w:rFonts w:ascii="Garamond" w:hAnsi="Garamond"/>
          <w:sz w:val="24"/>
          <w:szCs w:val="24"/>
        </w:rPr>
        <w:t xml:space="preserve"> particularly hit the country in 2008, provide</w:t>
      </w:r>
      <w:r w:rsidR="007A6EDD">
        <w:rPr>
          <w:rFonts w:ascii="Garamond" w:hAnsi="Garamond"/>
          <w:sz w:val="24"/>
          <w:szCs w:val="24"/>
        </w:rPr>
        <w:t>d</w:t>
      </w:r>
      <w:r w:rsidR="002B44D5">
        <w:rPr>
          <w:rFonts w:ascii="Garamond" w:hAnsi="Garamond"/>
          <w:sz w:val="24"/>
          <w:szCs w:val="24"/>
        </w:rPr>
        <w:t xml:space="preserve"> a window of opportunity for such reforms</w:t>
      </w:r>
      <w:r w:rsidR="00A46A0F">
        <w:rPr>
          <w:rFonts w:ascii="Garamond" w:hAnsi="Garamond"/>
          <w:sz w:val="24"/>
          <w:szCs w:val="24"/>
        </w:rPr>
        <w:t xml:space="preserve">: after adopting a Keynesian response </w:t>
      </w:r>
      <w:r w:rsidR="00A46A0F">
        <w:rPr>
          <w:rFonts w:ascii="Garamond" w:hAnsi="Garamond"/>
          <w:sz w:val="24"/>
          <w:szCs w:val="24"/>
        </w:rPr>
        <w:lastRenderedPageBreak/>
        <w:t>to the crisis at first,</w:t>
      </w:r>
      <w:r w:rsidR="002B44D5">
        <w:rPr>
          <w:rFonts w:ascii="Garamond" w:hAnsi="Garamond"/>
          <w:sz w:val="24"/>
          <w:szCs w:val="24"/>
        </w:rPr>
        <w:t xml:space="preserve"> </w:t>
      </w:r>
      <w:r w:rsidR="00A46A0F">
        <w:rPr>
          <w:rFonts w:ascii="Garamond" w:hAnsi="Garamond"/>
          <w:sz w:val="24"/>
          <w:szCs w:val="24"/>
        </w:rPr>
        <w:t xml:space="preserve">the right-wing government adopted a “reconstruction package” with the support of the Danish People’s Party and the Radical Liberals in 2010. This austerity package included a tightening of unemployment insurance and public expenditure </w:t>
      </w:r>
      <w:r w:rsidR="007A6EDD">
        <w:rPr>
          <w:rFonts w:ascii="Garamond" w:hAnsi="Garamond"/>
          <w:sz w:val="24"/>
          <w:szCs w:val="24"/>
        </w:rPr>
        <w:t>retrenchment</w:t>
      </w:r>
      <w:r w:rsidR="00A46A0F">
        <w:rPr>
          <w:rFonts w:ascii="Garamond" w:hAnsi="Garamond"/>
          <w:sz w:val="24"/>
          <w:szCs w:val="24"/>
        </w:rPr>
        <w:t>.</w:t>
      </w:r>
      <w:r w:rsidR="00D52EEA">
        <w:rPr>
          <w:rFonts w:ascii="Garamond" w:hAnsi="Garamond"/>
          <w:sz w:val="24"/>
          <w:szCs w:val="24"/>
        </w:rPr>
        <w:t xml:space="preserve"> It was followed by a </w:t>
      </w:r>
      <w:r w:rsidR="00FD726F">
        <w:rPr>
          <w:rFonts w:ascii="Garamond" w:hAnsi="Garamond"/>
          <w:sz w:val="24"/>
          <w:szCs w:val="24"/>
        </w:rPr>
        <w:t xml:space="preserve">controversial </w:t>
      </w:r>
      <w:r w:rsidR="00D52EEA">
        <w:rPr>
          <w:rFonts w:ascii="Garamond" w:hAnsi="Garamond"/>
          <w:sz w:val="24"/>
          <w:szCs w:val="24"/>
        </w:rPr>
        <w:t>retirement reform in 2011</w:t>
      </w:r>
      <w:r w:rsidR="00FD726F">
        <w:rPr>
          <w:rFonts w:ascii="Garamond" w:hAnsi="Garamond"/>
          <w:sz w:val="24"/>
          <w:szCs w:val="24"/>
        </w:rPr>
        <w:t>. The election of a</w:t>
      </w:r>
      <w:r w:rsidR="00CC2C4A">
        <w:rPr>
          <w:rFonts w:ascii="Garamond" w:hAnsi="Garamond"/>
          <w:sz w:val="24"/>
          <w:szCs w:val="24"/>
        </w:rPr>
        <w:t xml:space="preserve"> centre-left government in 2011, led by Helle Thorning-Schmidt, did not lead to a neo-Keynesian turn in response to the crisis, as the government’s agenda was strongly influenced by the Radical Liberals, who supported a neo-liberal response. </w:t>
      </w:r>
      <w:r w:rsidR="00200FBE">
        <w:rPr>
          <w:rFonts w:ascii="Garamond" w:hAnsi="Garamond"/>
          <w:sz w:val="24"/>
          <w:szCs w:val="24"/>
        </w:rPr>
        <w:t xml:space="preserve">While the government abstained from further neo-liberal reforms during its last year in office, this </w:t>
      </w:r>
      <w:r w:rsidR="008A5190">
        <w:rPr>
          <w:rFonts w:ascii="Garamond" w:hAnsi="Garamond"/>
          <w:sz w:val="24"/>
          <w:szCs w:val="24"/>
        </w:rPr>
        <w:t>did not prove sufficient for winning the 2015 election: the Liberal Party subsequently formed a single-party minority government, while the welfare chauvinist Danish People’s Party became the second largest party represented in the Danish Parliament.</w:t>
      </w:r>
    </w:p>
    <w:p w:rsidR="00BC597A" w:rsidRPr="00DC0A4B" w:rsidRDefault="00BC597A" w:rsidP="00C17411">
      <w:pPr>
        <w:jc w:val="both"/>
        <w:rPr>
          <w:rFonts w:ascii="Garamond" w:hAnsi="Garamond"/>
          <w:i/>
          <w:sz w:val="28"/>
          <w:szCs w:val="24"/>
          <w:u w:val="single"/>
        </w:rPr>
      </w:pPr>
      <w:r w:rsidRPr="00DC0A4B">
        <w:rPr>
          <w:rFonts w:ascii="Garamond" w:hAnsi="Garamond"/>
          <w:i/>
          <w:sz w:val="28"/>
          <w:szCs w:val="24"/>
          <w:u w:val="single"/>
        </w:rPr>
        <w:t>Norway</w:t>
      </w:r>
    </w:p>
    <w:p w:rsidR="00BC597A" w:rsidRDefault="00FF5E1D" w:rsidP="00C17411">
      <w:pPr>
        <w:jc w:val="both"/>
        <w:rPr>
          <w:rFonts w:ascii="Garamond" w:hAnsi="Garamond"/>
          <w:sz w:val="24"/>
          <w:szCs w:val="24"/>
        </w:rPr>
      </w:pPr>
      <w:r>
        <w:rPr>
          <w:rFonts w:ascii="Garamond" w:hAnsi="Garamond"/>
          <w:sz w:val="24"/>
          <w:szCs w:val="24"/>
        </w:rPr>
        <w:t>The development of the Norwegian welfare state for the past two decades is summarised as such by Jardar Sørvoll (see background paper, p. 11): “</w:t>
      </w:r>
      <w:r w:rsidRPr="00FF5E1D">
        <w:rPr>
          <w:rFonts w:ascii="Garamond" w:hAnsi="Garamond"/>
          <w:sz w:val="24"/>
          <w:szCs w:val="24"/>
        </w:rPr>
        <w:t>continued support for a generous welfare state amongst politicians and voters, limited external pressure for welfare state retrenchment, and elite consensus about social policy reforms</w:t>
      </w:r>
      <w:r>
        <w:rPr>
          <w:rFonts w:ascii="Garamond" w:hAnsi="Garamond"/>
          <w:sz w:val="24"/>
          <w:szCs w:val="24"/>
        </w:rPr>
        <w:t xml:space="preserve">”. </w:t>
      </w:r>
      <w:r w:rsidR="001F7F9D">
        <w:rPr>
          <w:rFonts w:ascii="Garamond" w:hAnsi="Garamond"/>
          <w:sz w:val="24"/>
          <w:szCs w:val="24"/>
        </w:rPr>
        <w:t xml:space="preserve">There is thus a broad consensus over welfare provisions in Norway. </w:t>
      </w:r>
      <w:r w:rsidR="00226B58">
        <w:rPr>
          <w:rFonts w:ascii="Garamond" w:hAnsi="Garamond"/>
          <w:sz w:val="24"/>
          <w:szCs w:val="24"/>
        </w:rPr>
        <w:t xml:space="preserve">The </w:t>
      </w:r>
      <w:r w:rsidR="00CE1B73">
        <w:rPr>
          <w:rFonts w:ascii="Garamond" w:hAnsi="Garamond"/>
          <w:sz w:val="24"/>
          <w:szCs w:val="24"/>
        </w:rPr>
        <w:t>populist right Progress Party, which accesse</w:t>
      </w:r>
      <w:r w:rsidR="0025313A">
        <w:rPr>
          <w:rFonts w:ascii="Garamond" w:hAnsi="Garamond"/>
          <w:sz w:val="24"/>
          <w:szCs w:val="24"/>
        </w:rPr>
        <w:t>d</w:t>
      </w:r>
      <w:r w:rsidR="00CE1B73">
        <w:rPr>
          <w:rFonts w:ascii="Garamond" w:hAnsi="Garamond"/>
          <w:sz w:val="24"/>
          <w:szCs w:val="24"/>
        </w:rPr>
        <w:t xml:space="preserve"> government following the 2013 election (see below), </w:t>
      </w:r>
      <w:r w:rsidR="0025313A">
        <w:rPr>
          <w:rFonts w:ascii="Garamond" w:hAnsi="Garamond"/>
          <w:sz w:val="24"/>
          <w:szCs w:val="24"/>
        </w:rPr>
        <w:t xml:space="preserve">also seems to be part of this broad consensus, </w:t>
      </w:r>
      <w:r w:rsidR="00ED1B6C">
        <w:rPr>
          <w:rFonts w:ascii="Garamond" w:hAnsi="Garamond"/>
          <w:sz w:val="24"/>
          <w:szCs w:val="24"/>
        </w:rPr>
        <w:t xml:space="preserve">despite campaigning on an anti-immigration platform. Yet, Sørvoll (pp. 12-12) argues that the party’s “support of key features of the welfare state seems to be one of the factors behind the party’s success”. </w:t>
      </w:r>
    </w:p>
    <w:p w:rsidR="00BC7577" w:rsidRDefault="00BC7577" w:rsidP="00C17411">
      <w:pPr>
        <w:jc w:val="both"/>
        <w:rPr>
          <w:rFonts w:ascii="Garamond" w:hAnsi="Garamond"/>
          <w:sz w:val="24"/>
          <w:szCs w:val="24"/>
        </w:rPr>
      </w:pPr>
      <w:r>
        <w:rPr>
          <w:rFonts w:ascii="Garamond" w:hAnsi="Garamond"/>
          <w:sz w:val="24"/>
          <w:szCs w:val="24"/>
        </w:rPr>
        <w:t>The centre-left Stoltenberg I government, consisting of the Labour, the Socialist Left and the agrarian Centre parties, was in power when the Great Recession reached Europe. Unlike many other governments in Europe (including Norway’s Nordic neighbours), the government adopted a neo-Keynesian response to the crisis</w:t>
      </w:r>
      <w:r w:rsidR="006A51DC">
        <w:rPr>
          <w:rFonts w:ascii="Garamond" w:hAnsi="Garamond"/>
          <w:sz w:val="24"/>
          <w:szCs w:val="24"/>
        </w:rPr>
        <w:t>: “in 2009, the government stimulated the economy by spending an unprecedented amount of Norway’s oil wealth. […] The oil wealth boosts the economy in many different ways; it affects aggregate demand directly and indirectly in related industries, the private service sector and the public sector” (Sørvoll, background paper, pp. 12-13).</w:t>
      </w:r>
      <w:r w:rsidR="001F7F9D">
        <w:rPr>
          <w:rFonts w:ascii="Garamond" w:hAnsi="Garamond"/>
          <w:sz w:val="24"/>
          <w:szCs w:val="24"/>
        </w:rPr>
        <w:t xml:space="preserve"> As such, </w:t>
      </w:r>
      <w:r w:rsidR="00F52B78">
        <w:rPr>
          <w:rFonts w:ascii="Garamond" w:hAnsi="Garamond"/>
          <w:sz w:val="24"/>
          <w:szCs w:val="24"/>
        </w:rPr>
        <w:t xml:space="preserve">Norway did not implement austerity measures as a response to the crisis, and </w:t>
      </w:r>
      <w:r w:rsidR="005C2FF2">
        <w:rPr>
          <w:rFonts w:ascii="Garamond" w:hAnsi="Garamond"/>
          <w:sz w:val="24"/>
          <w:szCs w:val="24"/>
        </w:rPr>
        <w:t>a neo-liberal approach</w:t>
      </w:r>
      <w:r w:rsidR="00F52B78">
        <w:rPr>
          <w:rFonts w:ascii="Garamond" w:hAnsi="Garamond"/>
          <w:sz w:val="24"/>
          <w:szCs w:val="24"/>
        </w:rPr>
        <w:t xml:space="preserve"> was not perceived as </w:t>
      </w:r>
      <w:r w:rsidR="00F83FA2">
        <w:rPr>
          <w:rFonts w:ascii="Garamond" w:hAnsi="Garamond"/>
          <w:sz w:val="24"/>
          <w:szCs w:val="24"/>
        </w:rPr>
        <w:t xml:space="preserve">a viable solution for Norway. Right-wing parties such as the Conservative Party and the Progress Party, who have been in a minority coalition government following the 2013 election, also favour </w:t>
      </w:r>
      <w:r w:rsidR="009B4526">
        <w:rPr>
          <w:rFonts w:ascii="Garamond" w:hAnsi="Garamond"/>
          <w:sz w:val="24"/>
          <w:szCs w:val="24"/>
        </w:rPr>
        <w:t>existing welfare provisions: “little suggests that the present right-wing government […] will push for a fundamental retrenchment of the welfare state” (Sørvoll, background paper, p. 2).</w:t>
      </w:r>
      <w:r w:rsidR="008553BF">
        <w:rPr>
          <w:rFonts w:ascii="Garamond" w:hAnsi="Garamond"/>
          <w:sz w:val="24"/>
          <w:szCs w:val="24"/>
        </w:rPr>
        <w:t xml:space="preserve"> Yet, the Norwegian welfa</w:t>
      </w:r>
      <w:r w:rsidR="002F3343">
        <w:rPr>
          <w:rFonts w:ascii="Garamond" w:hAnsi="Garamond"/>
          <w:sz w:val="24"/>
          <w:szCs w:val="24"/>
        </w:rPr>
        <w:t xml:space="preserve">re state faces some challenges. </w:t>
      </w:r>
      <w:r w:rsidR="008553BF">
        <w:rPr>
          <w:rFonts w:ascii="Garamond" w:hAnsi="Garamond"/>
          <w:sz w:val="24"/>
          <w:szCs w:val="24"/>
        </w:rPr>
        <w:t>Among these, immigration, economic globalization and population ageing are recurring themes that led to discussions among political elites with regards to the future of the Norwegian welfare state.</w:t>
      </w:r>
      <w:r w:rsidR="00343073">
        <w:rPr>
          <w:rFonts w:ascii="Garamond" w:hAnsi="Garamond"/>
          <w:sz w:val="24"/>
          <w:szCs w:val="24"/>
        </w:rPr>
        <w:t xml:space="preserve"> In such consensual democracy, it is also expected that public attitudes play an important role in shaping the political agenda, and thus the future of welfare provisions.</w:t>
      </w:r>
      <w:r w:rsidR="00DA2782">
        <w:rPr>
          <w:rFonts w:ascii="Garamond" w:hAnsi="Garamond"/>
          <w:sz w:val="24"/>
          <w:szCs w:val="24"/>
        </w:rPr>
        <w:t xml:space="preserve"> Yet, despite fairly high levels of welfare chauvinist attitudes</w:t>
      </w:r>
      <w:r w:rsidR="002643F3">
        <w:rPr>
          <w:rFonts w:ascii="Garamond" w:hAnsi="Garamond"/>
          <w:sz w:val="24"/>
          <w:szCs w:val="24"/>
        </w:rPr>
        <w:t xml:space="preserve"> (see below)</w:t>
      </w:r>
      <w:r w:rsidR="00DA2782">
        <w:rPr>
          <w:rFonts w:ascii="Garamond" w:hAnsi="Garamond"/>
          <w:sz w:val="24"/>
          <w:szCs w:val="24"/>
        </w:rPr>
        <w:t xml:space="preserve"> and the</w:t>
      </w:r>
      <w:r w:rsidR="002643F3">
        <w:rPr>
          <w:rFonts w:ascii="Garamond" w:hAnsi="Garamond"/>
          <w:sz w:val="24"/>
          <w:szCs w:val="24"/>
        </w:rPr>
        <w:t xml:space="preserve"> increasing </w:t>
      </w:r>
      <w:r w:rsidR="00DA2782">
        <w:rPr>
          <w:rFonts w:ascii="Garamond" w:hAnsi="Garamond"/>
          <w:sz w:val="24"/>
          <w:szCs w:val="24"/>
        </w:rPr>
        <w:t>politic</w:t>
      </w:r>
      <w:r w:rsidR="002643F3">
        <w:rPr>
          <w:rFonts w:ascii="Garamond" w:hAnsi="Garamond"/>
          <w:sz w:val="24"/>
          <w:szCs w:val="24"/>
        </w:rPr>
        <w:t xml:space="preserve">al importance of the populist right Progress Party, such policy </w:t>
      </w:r>
      <w:r w:rsidR="00A71ED8">
        <w:rPr>
          <w:rFonts w:ascii="Garamond" w:hAnsi="Garamond"/>
          <w:sz w:val="24"/>
          <w:szCs w:val="24"/>
        </w:rPr>
        <w:t>agenda</w:t>
      </w:r>
      <w:r w:rsidR="002643F3">
        <w:rPr>
          <w:rFonts w:ascii="Garamond" w:hAnsi="Garamond"/>
          <w:sz w:val="24"/>
          <w:szCs w:val="24"/>
        </w:rPr>
        <w:t xml:space="preserve"> </w:t>
      </w:r>
      <w:r w:rsidR="00A71ED8">
        <w:rPr>
          <w:rFonts w:ascii="Garamond" w:hAnsi="Garamond"/>
          <w:sz w:val="24"/>
          <w:szCs w:val="24"/>
        </w:rPr>
        <w:t>has never been adopted by the Norwegian executive.</w:t>
      </w:r>
    </w:p>
    <w:p w:rsidR="00BC597A" w:rsidRPr="00DC0A4B" w:rsidRDefault="00BC597A" w:rsidP="00C17411">
      <w:pPr>
        <w:jc w:val="both"/>
        <w:rPr>
          <w:rFonts w:ascii="Garamond" w:hAnsi="Garamond"/>
          <w:i/>
          <w:sz w:val="28"/>
          <w:szCs w:val="24"/>
          <w:u w:val="single"/>
        </w:rPr>
      </w:pPr>
      <w:r w:rsidRPr="00DC0A4B">
        <w:rPr>
          <w:rFonts w:ascii="Garamond" w:hAnsi="Garamond"/>
          <w:i/>
          <w:sz w:val="28"/>
          <w:szCs w:val="24"/>
          <w:u w:val="single"/>
        </w:rPr>
        <w:t>Germany</w:t>
      </w:r>
    </w:p>
    <w:p w:rsidR="00BC597A" w:rsidRDefault="002152AC" w:rsidP="00C17411">
      <w:pPr>
        <w:jc w:val="both"/>
        <w:rPr>
          <w:rFonts w:ascii="Garamond" w:hAnsi="Garamond"/>
          <w:sz w:val="24"/>
          <w:szCs w:val="24"/>
        </w:rPr>
      </w:pPr>
      <w:r>
        <w:rPr>
          <w:rFonts w:ascii="Garamond" w:hAnsi="Garamond"/>
          <w:sz w:val="24"/>
          <w:szCs w:val="24"/>
        </w:rPr>
        <w:lastRenderedPageBreak/>
        <w:t>In Germany, considerable welfare reforms were implemented between 1999 and 2005, under the Red-Green alliance led by Gerhard Schröder. Such reforms included a gradual increase in the regular retirement age, a decrease in the level of public pensions</w:t>
      </w:r>
      <w:r w:rsidR="003E0005">
        <w:rPr>
          <w:rFonts w:ascii="Garamond" w:hAnsi="Garamond"/>
          <w:sz w:val="24"/>
          <w:szCs w:val="24"/>
        </w:rPr>
        <w:t xml:space="preserve"> and the creation of quasi-markets in health care. The controversial ‘Hartz reforms’</w:t>
      </w:r>
      <w:r w:rsidR="00EF7F25">
        <w:rPr>
          <w:rFonts w:ascii="Garamond" w:hAnsi="Garamond"/>
          <w:sz w:val="24"/>
          <w:szCs w:val="24"/>
        </w:rPr>
        <w:t xml:space="preserve"> (including the so-called ‘mini-jobs’)</w:t>
      </w:r>
      <w:r w:rsidR="002F7EF9">
        <w:rPr>
          <w:rFonts w:ascii="Garamond" w:hAnsi="Garamond"/>
          <w:sz w:val="24"/>
          <w:szCs w:val="24"/>
        </w:rPr>
        <w:t>, adopted between 2003 and 2005, were particularly unpopular, leading to public protests and the gradual emergence of ‘Die Linke’ as a lasting political force in the German political landscape (see Jan-Ocko Heuer and Steffen Mau’s draft chapter, pp. 7-8).</w:t>
      </w:r>
      <w:r w:rsidR="00DB466F">
        <w:rPr>
          <w:rFonts w:ascii="Garamond" w:hAnsi="Garamond"/>
          <w:sz w:val="24"/>
          <w:szCs w:val="24"/>
        </w:rPr>
        <w:t xml:space="preserve"> The subsequent ‘Grand coalition’, consisting of the CDU/CSU and the S</w:t>
      </w:r>
      <w:r w:rsidR="00E32FD4">
        <w:rPr>
          <w:rFonts w:ascii="Garamond" w:hAnsi="Garamond"/>
          <w:sz w:val="24"/>
          <w:szCs w:val="24"/>
        </w:rPr>
        <w:t>DP</w:t>
      </w:r>
      <w:r w:rsidR="00DB466F">
        <w:rPr>
          <w:rFonts w:ascii="Garamond" w:hAnsi="Garamond"/>
          <w:sz w:val="24"/>
          <w:szCs w:val="24"/>
        </w:rPr>
        <w:t>, put an end to this series of welfare reforms and put a stronger emphasis on ‘new social risks’ and social investment</w:t>
      </w:r>
      <w:r w:rsidR="007A6EDD">
        <w:rPr>
          <w:rFonts w:ascii="Garamond" w:hAnsi="Garamond"/>
          <w:sz w:val="24"/>
          <w:szCs w:val="24"/>
        </w:rPr>
        <w:t>, including an expansion of kindergarten and stronger rights for women in paid work</w:t>
      </w:r>
      <w:r w:rsidR="00DB466F">
        <w:rPr>
          <w:rFonts w:ascii="Garamond" w:hAnsi="Garamond"/>
          <w:sz w:val="24"/>
          <w:szCs w:val="24"/>
        </w:rPr>
        <w:t xml:space="preserve">.  </w:t>
      </w:r>
    </w:p>
    <w:p w:rsidR="008E0F97" w:rsidRDefault="00190907" w:rsidP="00C17411">
      <w:pPr>
        <w:jc w:val="both"/>
        <w:rPr>
          <w:rFonts w:ascii="Garamond" w:hAnsi="Garamond"/>
          <w:sz w:val="24"/>
          <w:szCs w:val="24"/>
        </w:rPr>
      </w:pPr>
      <w:r>
        <w:rPr>
          <w:rFonts w:ascii="Garamond" w:hAnsi="Garamond"/>
          <w:sz w:val="24"/>
          <w:szCs w:val="24"/>
        </w:rPr>
        <w:t>Like in all other European countries, policy responses to the crisis affected welfare provisions in Germany</w:t>
      </w:r>
      <w:r w:rsidR="00DE2167">
        <w:rPr>
          <w:rFonts w:ascii="Garamond" w:hAnsi="Garamond"/>
          <w:sz w:val="24"/>
          <w:szCs w:val="24"/>
        </w:rPr>
        <w:t>, even though the country’s experience of the Great Recession significantly differs from the rest of Europe (see draft chapter, p. 12 for a full explanation)</w:t>
      </w:r>
      <w:r>
        <w:rPr>
          <w:rFonts w:ascii="Garamond" w:hAnsi="Garamond"/>
          <w:sz w:val="24"/>
          <w:szCs w:val="24"/>
        </w:rPr>
        <w:t xml:space="preserve">. Among the new policy measures adopted by the Grand coalition, the </w:t>
      </w:r>
      <w:r w:rsidR="000D746E">
        <w:rPr>
          <w:rFonts w:ascii="Garamond" w:hAnsi="Garamond"/>
          <w:sz w:val="24"/>
          <w:szCs w:val="24"/>
        </w:rPr>
        <w:t xml:space="preserve">most important one is the </w:t>
      </w:r>
      <w:r>
        <w:rPr>
          <w:rFonts w:ascii="Garamond" w:hAnsi="Garamond"/>
          <w:sz w:val="24"/>
          <w:szCs w:val="24"/>
        </w:rPr>
        <w:t>use of ‘Kuzarbeitergeld’, i.e. short-time work scheme enabling companied to respond to declining demand by reducing the working time of their employees, affected up to 1.5 million employees who were employed on s</w:t>
      </w:r>
      <w:r w:rsidR="009D63E3">
        <w:rPr>
          <w:rFonts w:ascii="Garamond" w:hAnsi="Garamond"/>
          <w:sz w:val="24"/>
          <w:szCs w:val="24"/>
        </w:rPr>
        <w:t xml:space="preserve">uch basis during the recession. Following the 2009 federal election and the formation of a Christian-Liberal coalition, a series of spending cuts were introduced and included benefit reductions for long-term unemployed people, as well as reductions in parental allowances for high earners. </w:t>
      </w:r>
      <w:r w:rsidR="009E66AD">
        <w:rPr>
          <w:rFonts w:ascii="Garamond" w:hAnsi="Garamond"/>
          <w:sz w:val="24"/>
          <w:szCs w:val="24"/>
        </w:rPr>
        <w:t xml:space="preserve">In 2009, the Constitution was amended to limit structural deficit to a maximum of 0.35 per cent of GDP at the federal level, while Länder will not be allowed to run any deficit from 2020 onwards. As mentioned by Jan-Ocko Heuer and Steffen Mau (p. </w:t>
      </w:r>
      <w:r w:rsidR="000D4608">
        <w:rPr>
          <w:rFonts w:ascii="Garamond" w:hAnsi="Garamond"/>
          <w:sz w:val="24"/>
          <w:szCs w:val="24"/>
        </w:rPr>
        <w:t>1</w:t>
      </w:r>
      <w:r w:rsidR="009E66AD">
        <w:rPr>
          <w:rFonts w:ascii="Garamond" w:hAnsi="Garamond"/>
          <w:sz w:val="24"/>
          <w:szCs w:val="24"/>
        </w:rPr>
        <w:t>3), “</w:t>
      </w:r>
      <w:r w:rsidR="009E66AD" w:rsidRPr="009E66AD">
        <w:rPr>
          <w:rFonts w:ascii="Garamond" w:hAnsi="Garamond"/>
          <w:sz w:val="24"/>
          <w:szCs w:val="24"/>
        </w:rPr>
        <w:t xml:space="preserve">while the immediate impact of the Great Recession on welfare policies in Germany has been limited, the new ‘politics of austerity’ </w:t>
      </w:r>
      <w:r w:rsidR="009E66AD">
        <w:rPr>
          <w:rFonts w:ascii="Garamond" w:hAnsi="Garamond"/>
          <w:sz w:val="24"/>
          <w:szCs w:val="24"/>
        </w:rPr>
        <w:t>[…]</w:t>
      </w:r>
      <w:r w:rsidR="009E66AD" w:rsidRPr="009E66AD">
        <w:rPr>
          <w:rFonts w:ascii="Garamond" w:hAnsi="Garamond"/>
          <w:sz w:val="24"/>
          <w:szCs w:val="24"/>
        </w:rPr>
        <w:t xml:space="preserve"> might be the starting point for another round of welfare state restructuring and retrenchment</w:t>
      </w:r>
      <w:r w:rsidR="009E66AD">
        <w:rPr>
          <w:rFonts w:ascii="Garamond" w:hAnsi="Garamond"/>
          <w:sz w:val="24"/>
          <w:szCs w:val="24"/>
        </w:rPr>
        <w:t>”</w:t>
      </w:r>
      <w:r w:rsidR="009E66AD" w:rsidRPr="009E66AD">
        <w:rPr>
          <w:rFonts w:ascii="Garamond" w:hAnsi="Garamond"/>
          <w:sz w:val="24"/>
          <w:szCs w:val="24"/>
        </w:rPr>
        <w:t>.</w:t>
      </w:r>
      <w:r w:rsidR="009E66AD">
        <w:rPr>
          <w:rFonts w:ascii="Garamond" w:hAnsi="Garamond"/>
          <w:sz w:val="24"/>
          <w:szCs w:val="24"/>
        </w:rPr>
        <w:t xml:space="preserve"> </w:t>
      </w:r>
    </w:p>
    <w:p w:rsidR="00DE5354" w:rsidRDefault="004B1BE4" w:rsidP="00C17411">
      <w:pPr>
        <w:jc w:val="both"/>
        <w:rPr>
          <w:rFonts w:ascii="Garamond" w:hAnsi="Garamond"/>
          <w:sz w:val="24"/>
          <w:szCs w:val="24"/>
        </w:rPr>
      </w:pPr>
      <w:r>
        <w:rPr>
          <w:rFonts w:ascii="Garamond" w:hAnsi="Garamond"/>
          <w:sz w:val="24"/>
          <w:szCs w:val="24"/>
        </w:rPr>
        <w:t>In 2013, a new ‘Grand coalition’ was formed following the federal election</w:t>
      </w:r>
      <w:r w:rsidR="00804FAD">
        <w:rPr>
          <w:rFonts w:ascii="Garamond" w:hAnsi="Garamond"/>
          <w:sz w:val="24"/>
          <w:szCs w:val="24"/>
        </w:rPr>
        <w:t>, as the liberal Free Democratic Party lost all of its seats in the Bundestag</w:t>
      </w:r>
      <w:r>
        <w:rPr>
          <w:rFonts w:ascii="Garamond" w:hAnsi="Garamond"/>
          <w:sz w:val="24"/>
          <w:szCs w:val="24"/>
        </w:rPr>
        <w:t xml:space="preserve">. </w:t>
      </w:r>
      <w:r w:rsidR="00E32FD4">
        <w:rPr>
          <w:rFonts w:ascii="Garamond" w:hAnsi="Garamond"/>
          <w:sz w:val="24"/>
          <w:szCs w:val="24"/>
        </w:rPr>
        <w:t>The most recent social policy reform introduced by this government is the introduction of a minimum wage in 2015, pushed by the SDP as a r</w:t>
      </w:r>
      <w:r w:rsidR="00896A56">
        <w:rPr>
          <w:rFonts w:ascii="Garamond" w:hAnsi="Garamond"/>
          <w:sz w:val="24"/>
          <w:szCs w:val="24"/>
        </w:rPr>
        <w:t>esponse to the rise of short-ti</w:t>
      </w:r>
      <w:r w:rsidR="00E32FD4">
        <w:rPr>
          <w:rFonts w:ascii="Garamond" w:hAnsi="Garamond"/>
          <w:sz w:val="24"/>
          <w:szCs w:val="24"/>
        </w:rPr>
        <w:t>me, unsecured and low-paid forms of employment.</w:t>
      </w:r>
      <w:r w:rsidR="00D1034B">
        <w:rPr>
          <w:rFonts w:ascii="Garamond" w:hAnsi="Garamond"/>
          <w:sz w:val="24"/>
          <w:szCs w:val="24"/>
        </w:rPr>
        <w:t xml:space="preserve"> The emergence of a new populist right party, Alternative for Germany</w:t>
      </w:r>
      <w:r w:rsidR="00193002">
        <w:rPr>
          <w:rFonts w:ascii="Garamond" w:hAnsi="Garamond"/>
          <w:sz w:val="24"/>
          <w:szCs w:val="24"/>
        </w:rPr>
        <w:t xml:space="preserve"> (formed in 2013)</w:t>
      </w:r>
      <w:r w:rsidR="00D1034B">
        <w:rPr>
          <w:rFonts w:ascii="Garamond" w:hAnsi="Garamond"/>
          <w:sz w:val="24"/>
          <w:szCs w:val="24"/>
        </w:rPr>
        <w:t xml:space="preserve">, should also be noted: this party, which gained representation in the European Parliament as well as in five state parliaments, </w:t>
      </w:r>
      <w:r w:rsidR="00193002">
        <w:rPr>
          <w:rFonts w:ascii="Garamond" w:hAnsi="Garamond"/>
          <w:sz w:val="24"/>
          <w:szCs w:val="24"/>
        </w:rPr>
        <w:t>favours chauvinistic and Eurosceptic responses to the Great Recession</w:t>
      </w:r>
      <w:r w:rsidR="00E37B9F">
        <w:rPr>
          <w:rFonts w:ascii="Garamond" w:hAnsi="Garamond"/>
          <w:sz w:val="24"/>
          <w:szCs w:val="24"/>
        </w:rPr>
        <w:t>, and the right wing of the German political landscape are now ‘pressurized’ by this agenda, similarly to UKIP’s influence on the Conservative Party</w:t>
      </w:r>
      <w:r w:rsidR="00ED7D69">
        <w:rPr>
          <w:rFonts w:ascii="Garamond" w:hAnsi="Garamond"/>
          <w:sz w:val="24"/>
          <w:szCs w:val="24"/>
        </w:rPr>
        <w:t>’s European agenda</w:t>
      </w:r>
      <w:r w:rsidR="00E37B9F">
        <w:rPr>
          <w:rFonts w:ascii="Garamond" w:hAnsi="Garamond"/>
          <w:sz w:val="24"/>
          <w:szCs w:val="24"/>
        </w:rPr>
        <w:t xml:space="preserve"> in the United Kingdom. </w:t>
      </w:r>
    </w:p>
    <w:p w:rsidR="00BC597A" w:rsidRPr="00DC0A4B" w:rsidRDefault="00BC597A" w:rsidP="00C17411">
      <w:pPr>
        <w:jc w:val="both"/>
        <w:rPr>
          <w:rFonts w:ascii="Garamond" w:hAnsi="Garamond"/>
          <w:i/>
          <w:sz w:val="28"/>
          <w:szCs w:val="24"/>
          <w:u w:val="single"/>
        </w:rPr>
      </w:pPr>
      <w:r w:rsidRPr="00DC0A4B">
        <w:rPr>
          <w:rFonts w:ascii="Garamond" w:hAnsi="Garamond"/>
          <w:i/>
          <w:sz w:val="28"/>
          <w:szCs w:val="24"/>
          <w:u w:val="single"/>
        </w:rPr>
        <w:t>Slovenia</w:t>
      </w:r>
    </w:p>
    <w:p w:rsidR="00B71634" w:rsidRDefault="00C21A86" w:rsidP="00C17411">
      <w:pPr>
        <w:jc w:val="both"/>
        <w:rPr>
          <w:rFonts w:ascii="Garamond" w:hAnsi="Garamond"/>
          <w:sz w:val="24"/>
          <w:szCs w:val="24"/>
        </w:rPr>
      </w:pPr>
      <w:r>
        <w:rPr>
          <w:rFonts w:ascii="Garamond" w:hAnsi="Garamond"/>
          <w:sz w:val="24"/>
          <w:szCs w:val="24"/>
        </w:rPr>
        <w:t xml:space="preserve">From the five countries analysed within the framework of this project, Slovenia seems to stand out with regards to its recent political developments. It is a country with a strong tradition of centre-left coalition governments. However, in 2004, the conservative Slovenian Democratic Party formed a centre-right </w:t>
      </w:r>
      <w:r w:rsidR="000F19C1">
        <w:rPr>
          <w:rFonts w:ascii="Garamond" w:hAnsi="Garamond"/>
          <w:sz w:val="24"/>
          <w:szCs w:val="24"/>
        </w:rPr>
        <w:t xml:space="preserve">government and implemented a series of neo-liberal reforms, which were met with scepticism by the powerful trade unions and public opinion. </w:t>
      </w:r>
      <w:r w:rsidR="000A6979">
        <w:rPr>
          <w:rFonts w:ascii="Garamond" w:hAnsi="Garamond"/>
          <w:sz w:val="24"/>
          <w:szCs w:val="24"/>
        </w:rPr>
        <w:t xml:space="preserve">In the context of the Great Recession, political changes and instability occurred in the country, as summarised in the </w:t>
      </w:r>
      <w:r w:rsidR="00E424E9">
        <w:rPr>
          <w:rFonts w:ascii="Garamond" w:hAnsi="Garamond"/>
          <w:sz w:val="24"/>
          <w:szCs w:val="24"/>
        </w:rPr>
        <w:t>draft chapter written</w:t>
      </w:r>
      <w:r w:rsidR="000A6979">
        <w:rPr>
          <w:rFonts w:ascii="Garamond" w:hAnsi="Garamond"/>
          <w:sz w:val="24"/>
          <w:szCs w:val="24"/>
        </w:rPr>
        <w:t xml:space="preserve"> by </w:t>
      </w:r>
      <w:r w:rsidR="000A6979" w:rsidRPr="000A6979">
        <w:rPr>
          <w:rFonts w:ascii="Garamond" w:hAnsi="Garamond"/>
          <w:sz w:val="24"/>
          <w:szCs w:val="24"/>
        </w:rPr>
        <w:t>Maša Filipovič Hrast</w:t>
      </w:r>
      <w:r w:rsidR="000A6979">
        <w:rPr>
          <w:rFonts w:ascii="Garamond" w:hAnsi="Garamond"/>
          <w:sz w:val="24"/>
          <w:szCs w:val="24"/>
        </w:rPr>
        <w:t xml:space="preserve"> and</w:t>
      </w:r>
      <w:r w:rsidR="000A6979" w:rsidRPr="000A6979">
        <w:t xml:space="preserve"> </w:t>
      </w:r>
      <w:r w:rsidR="000A6979" w:rsidRPr="000A6979">
        <w:rPr>
          <w:rFonts w:ascii="Garamond" w:hAnsi="Garamond"/>
          <w:sz w:val="24"/>
          <w:szCs w:val="24"/>
        </w:rPr>
        <w:t>Tatjana Rak</w:t>
      </w:r>
      <w:r w:rsidR="000A6979">
        <w:rPr>
          <w:rFonts w:ascii="Garamond" w:hAnsi="Garamond"/>
          <w:sz w:val="24"/>
          <w:szCs w:val="24"/>
        </w:rPr>
        <w:t>ar (p. 9):</w:t>
      </w:r>
      <w:r>
        <w:rPr>
          <w:rFonts w:ascii="Garamond" w:hAnsi="Garamond"/>
          <w:sz w:val="24"/>
          <w:szCs w:val="24"/>
        </w:rPr>
        <w:t xml:space="preserve"> </w:t>
      </w:r>
    </w:p>
    <w:p w:rsidR="000A6979" w:rsidRDefault="000A6979" w:rsidP="000A6979">
      <w:pPr>
        <w:ind w:left="567" w:right="567"/>
        <w:jc w:val="both"/>
        <w:rPr>
          <w:rFonts w:ascii="Garamond" w:hAnsi="Garamond"/>
          <w:sz w:val="24"/>
          <w:szCs w:val="24"/>
        </w:rPr>
      </w:pPr>
      <w:r w:rsidRPr="000A6979">
        <w:rPr>
          <w:rFonts w:ascii="Garamond" w:hAnsi="Garamond"/>
          <w:sz w:val="24"/>
          <w:szCs w:val="24"/>
        </w:rPr>
        <w:lastRenderedPageBreak/>
        <w:t>From November 2008 until the end of 2011, left-wing governments retained power. Then, during the next preliminary elections, a right</w:t>
      </w:r>
      <w:r>
        <w:rPr>
          <w:rFonts w:ascii="Garamond" w:hAnsi="Garamond"/>
          <w:sz w:val="24"/>
          <w:szCs w:val="24"/>
        </w:rPr>
        <w:t>-</w:t>
      </w:r>
      <w:r w:rsidRPr="000A6979">
        <w:rPr>
          <w:rFonts w:ascii="Garamond" w:hAnsi="Garamond"/>
          <w:sz w:val="24"/>
          <w:szCs w:val="24"/>
        </w:rPr>
        <w:t>wing government came to power, only to lose public support again in 2013 and be replaced by a centre-left government that lasted until August 2014, when a new party, the Party of the Modern Centre (SMC), won enough national support to form a second centre-left coalition. These changes to government have been seemingly continual, swift and momentous. However, both rightist and leftist governments have acted to curb government spending, viewing the discharge of the state’s responsibility for social protection and the wellbeing of its citizens as the dominant way out of the difficult economic and financial circumstances in which Slovenia found itself.</w:t>
      </w:r>
    </w:p>
    <w:p w:rsidR="009158BB" w:rsidRDefault="00340B99" w:rsidP="00C17411">
      <w:pPr>
        <w:jc w:val="both"/>
        <w:rPr>
          <w:rFonts w:ascii="Garamond" w:hAnsi="Garamond"/>
          <w:sz w:val="24"/>
          <w:szCs w:val="24"/>
        </w:rPr>
      </w:pPr>
      <w:r>
        <w:rPr>
          <w:rFonts w:ascii="Garamond" w:hAnsi="Garamond"/>
          <w:sz w:val="24"/>
          <w:szCs w:val="24"/>
        </w:rPr>
        <w:t xml:space="preserve">From 2010 onwards, a series of austerity measures were introduced by both centre-left and centre-right governments. Among these, several cuts in social benefits have hit the lower-middle class, including the </w:t>
      </w:r>
      <w:r w:rsidRPr="00340B99">
        <w:rPr>
          <w:rFonts w:ascii="Garamond" w:hAnsi="Garamond"/>
          <w:sz w:val="24"/>
          <w:szCs w:val="24"/>
        </w:rPr>
        <w:t>Exercise of Rights to Public Funds and the Financial Social Assistance acts</w:t>
      </w:r>
      <w:r>
        <w:rPr>
          <w:rFonts w:ascii="Garamond" w:hAnsi="Garamond"/>
          <w:sz w:val="24"/>
          <w:szCs w:val="24"/>
        </w:rPr>
        <w:t xml:space="preserve"> (see ESPAnet paper, p. 9). Accordingly, austerity as a response to the Great Recession has been widely accepted by political parties across the left-right political spectrum. </w:t>
      </w:r>
    </w:p>
    <w:p w:rsidR="00D50CBB" w:rsidRPr="00E46E16" w:rsidRDefault="00D50CBB" w:rsidP="00C17411">
      <w:pPr>
        <w:jc w:val="both"/>
        <w:rPr>
          <w:rFonts w:ascii="Garamond" w:hAnsi="Garamond"/>
          <w:sz w:val="24"/>
          <w:szCs w:val="24"/>
        </w:rPr>
      </w:pPr>
      <w:r>
        <w:rPr>
          <w:rFonts w:ascii="Garamond" w:hAnsi="Garamond"/>
          <w:sz w:val="24"/>
          <w:szCs w:val="24"/>
        </w:rPr>
        <w:t xml:space="preserve">It is also </w:t>
      </w:r>
      <w:r w:rsidRPr="00E46E16">
        <w:rPr>
          <w:rFonts w:ascii="Garamond" w:hAnsi="Garamond"/>
          <w:sz w:val="24"/>
          <w:szCs w:val="24"/>
        </w:rPr>
        <w:t>interesting to note that the Democratic Party of Slovenian Pensioners (DeSUS) has been a well-established political force in the Slovenian Parliament since 1996. This party, aiming at representing the elderly’s interests, has also been part of coalition governments since 2004, and received more than 10 per cent of votes in the 2014 parliamentary election, the party’s best performance since its creation.</w:t>
      </w:r>
      <w:r w:rsidR="00F76EC5" w:rsidRPr="00E46E16">
        <w:rPr>
          <w:rFonts w:ascii="Garamond" w:hAnsi="Garamond"/>
          <w:sz w:val="24"/>
          <w:szCs w:val="24"/>
        </w:rPr>
        <w:t xml:space="preserve"> The presence of such party and its strong popular support means that it is more difficult to reform the pensions system in Slovenia.</w:t>
      </w:r>
    </w:p>
    <w:p w:rsidR="00BC597A" w:rsidRPr="00DC0A4B" w:rsidRDefault="00BC597A" w:rsidP="00C17411">
      <w:pPr>
        <w:jc w:val="both"/>
        <w:rPr>
          <w:rFonts w:ascii="Garamond" w:hAnsi="Garamond"/>
          <w:i/>
          <w:sz w:val="28"/>
          <w:szCs w:val="24"/>
          <w:u w:val="single"/>
        </w:rPr>
      </w:pPr>
      <w:r w:rsidRPr="00DC0A4B">
        <w:rPr>
          <w:rFonts w:ascii="Garamond" w:hAnsi="Garamond"/>
          <w:i/>
          <w:sz w:val="28"/>
          <w:szCs w:val="24"/>
          <w:u w:val="single"/>
        </w:rPr>
        <w:t>United Kingdom</w:t>
      </w:r>
    </w:p>
    <w:p w:rsidR="00EC24EE" w:rsidRPr="00E46E16" w:rsidRDefault="00EC24EE" w:rsidP="00C17411">
      <w:pPr>
        <w:jc w:val="both"/>
        <w:rPr>
          <w:rFonts w:ascii="Garamond" w:hAnsi="Garamond"/>
          <w:sz w:val="24"/>
          <w:szCs w:val="24"/>
        </w:rPr>
      </w:pPr>
      <w:r w:rsidRPr="00E46E16">
        <w:rPr>
          <w:rFonts w:ascii="Garamond" w:hAnsi="Garamond"/>
          <w:sz w:val="24"/>
          <w:szCs w:val="24"/>
        </w:rPr>
        <w:t>The United Kingdom’s experience of the Great Recession first took place under Gordon Brown’s Labour g</w:t>
      </w:r>
      <w:r w:rsidR="00E46E16" w:rsidRPr="00E46E16">
        <w:rPr>
          <w:rFonts w:ascii="Garamond" w:hAnsi="Garamond"/>
          <w:sz w:val="24"/>
          <w:szCs w:val="24"/>
        </w:rPr>
        <w:t xml:space="preserve">overnment. The immediate response to the recession was </w:t>
      </w:r>
      <w:r w:rsidR="00E46E16" w:rsidRPr="00E46E16">
        <w:rPr>
          <w:rFonts w:ascii="Garamond" w:hAnsi="Garamond" w:cs="Times New Roman"/>
          <w:sz w:val="24"/>
          <w:szCs w:val="24"/>
        </w:rPr>
        <w:t>an automatic increase in spending on unemployment and low pay benefits, and a number of measures to prote</w:t>
      </w:r>
      <w:r w:rsidR="00E46E16">
        <w:rPr>
          <w:rFonts w:ascii="Garamond" w:hAnsi="Garamond" w:cs="Times New Roman"/>
          <w:sz w:val="24"/>
          <w:szCs w:val="24"/>
        </w:rPr>
        <w:t>ct business (tax cuts) and jobs,</w:t>
      </w:r>
      <w:r w:rsidR="00E46E16" w:rsidRPr="00E46E16">
        <w:rPr>
          <w:rFonts w:ascii="Garamond" w:hAnsi="Garamond" w:cs="Times New Roman"/>
          <w:sz w:val="24"/>
          <w:szCs w:val="24"/>
        </w:rPr>
        <w:t xml:space="preserve"> as well as an increase in personal allowances</w:t>
      </w:r>
      <w:r w:rsidR="00E46E16">
        <w:rPr>
          <w:rFonts w:ascii="Garamond" w:hAnsi="Garamond" w:cs="Times New Roman"/>
          <w:sz w:val="24"/>
          <w:szCs w:val="24"/>
        </w:rPr>
        <w:t>.</w:t>
      </w:r>
      <w:r w:rsidRPr="00E46E16">
        <w:rPr>
          <w:rFonts w:ascii="Garamond" w:hAnsi="Garamond"/>
          <w:sz w:val="24"/>
          <w:szCs w:val="24"/>
        </w:rPr>
        <w:t xml:space="preserve"> </w:t>
      </w:r>
      <w:r w:rsidR="00E46E16">
        <w:rPr>
          <w:rFonts w:ascii="Garamond" w:hAnsi="Garamond"/>
          <w:sz w:val="24"/>
          <w:szCs w:val="24"/>
        </w:rPr>
        <w:t>While the management of the recession was initially successful, the Labour Party lost the 2010 General Election, and a coalition was formed between the Conservative Party (led by David Cameron) and the Liberal Democrats (led by Nick Clegg) as junior partner. As mentioned above, such coalition agreement, as a result of a hung parliament, is unusual in the United Kingdom, where the first-past-the-post electoral system tend to favour bipartisanship and single party majority governments.</w:t>
      </w:r>
      <w:r w:rsidR="00A31946">
        <w:rPr>
          <w:rFonts w:ascii="Garamond" w:hAnsi="Garamond"/>
          <w:sz w:val="24"/>
          <w:szCs w:val="24"/>
        </w:rPr>
        <w:t xml:space="preserve"> </w:t>
      </w:r>
      <w:r w:rsidR="00EA074A">
        <w:rPr>
          <w:rFonts w:ascii="Garamond" w:hAnsi="Garamond"/>
          <w:sz w:val="24"/>
          <w:szCs w:val="24"/>
        </w:rPr>
        <w:t>The</w:t>
      </w:r>
      <w:r w:rsidR="00A31946">
        <w:rPr>
          <w:rFonts w:ascii="Garamond" w:hAnsi="Garamond"/>
          <w:sz w:val="24"/>
          <w:szCs w:val="24"/>
        </w:rPr>
        <w:t xml:space="preserve"> Coalition </w:t>
      </w:r>
      <w:r w:rsidR="00EA074A">
        <w:rPr>
          <w:rFonts w:ascii="Garamond" w:hAnsi="Garamond"/>
          <w:sz w:val="24"/>
          <w:szCs w:val="24"/>
        </w:rPr>
        <w:t xml:space="preserve">first headlined the issue of immigration, </w:t>
      </w:r>
      <w:r w:rsidR="00EA074A" w:rsidRPr="00EA074A">
        <w:rPr>
          <w:rFonts w:ascii="Garamond" w:hAnsi="Garamond"/>
          <w:sz w:val="24"/>
          <w:szCs w:val="24"/>
        </w:rPr>
        <w:t>lending force to welfare chauvinism as a response to the crisis</w:t>
      </w:r>
      <w:r w:rsidR="00EA074A">
        <w:rPr>
          <w:rFonts w:ascii="Garamond" w:hAnsi="Garamond"/>
          <w:sz w:val="24"/>
          <w:szCs w:val="24"/>
        </w:rPr>
        <w:t xml:space="preserve">. It also </w:t>
      </w:r>
      <w:r w:rsidR="00EA074A" w:rsidRPr="00EA074A">
        <w:rPr>
          <w:rFonts w:ascii="Garamond" w:hAnsi="Garamond"/>
          <w:sz w:val="24"/>
          <w:szCs w:val="24"/>
        </w:rPr>
        <w:t>pursued a radical and vigorous programme of structural reform in welfare</w:t>
      </w:r>
      <w:r w:rsidR="00EA074A">
        <w:rPr>
          <w:rFonts w:ascii="Garamond" w:hAnsi="Garamond"/>
          <w:sz w:val="24"/>
          <w:szCs w:val="24"/>
        </w:rPr>
        <w:t>,</w:t>
      </w:r>
      <w:r w:rsidR="00EA074A" w:rsidRPr="00EA074A">
        <w:t xml:space="preserve"> </w:t>
      </w:r>
      <w:r w:rsidR="00EA074A">
        <w:t>e</w:t>
      </w:r>
      <w:r w:rsidR="00EA074A" w:rsidRPr="00EA074A">
        <w:rPr>
          <w:rFonts w:ascii="Garamond" w:hAnsi="Garamond"/>
          <w:sz w:val="24"/>
          <w:szCs w:val="24"/>
        </w:rPr>
        <w:t>xpanding the role of the private and non-state welfare, entrenching payment by results and requiring people to take much greater individual responsibility for outcomes. The objective was a decisive shift towards smaller and more liberal social sector and an embedded individualism in welfare politics</w:t>
      </w:r>
      <w:r w:rsidR="00EA074A">
        <w:rPr>
          <w:rFonts w:ascii="Garamond" w:hAnsi="Garamond"/>
          <w:sz w:val="24"/>
          <w:szCs w:val="24"/>
        </w:rPr>
        <w:t>. With regards to welfare spending, pensions became the government’s priority, while health care and education spending held steady and failed to match the population increase.</w:t>
      </w:r>
    </w:p>
    <w:p w:rsidR="00314BD2" w:rsidRDefault="00E829EB" w:rsidP="00C17411">
      <w:pPr>
        <w:jc w:val="both"/>
        <w:rPr>
          <w:rFonts w:ascii="Garamond" w:hAnsi="Garamond"/>
          <w:sz w:val="24"/>
          <w:szCs w:val="24"/>
        </w:rPr>
      </w:pPr>
      <w:r w:rsidRPr="00E46E16">
        <w:rPr>
          <w:rFonts w:ascii="Garamond" w:hAnsi="Garamond"/>
          <w:sz w:val="24"/>
          <w:szCs w:val="24"/>
        </w:rPr>
        <w:t xml:space="preserve">The recent 2015 General Election results in the United Kingdom have surprised all observers. While all polls and experts predicted another hung parliament, with the Conservative and Labour parties being unable to secure a majority in the House of Commons, </w:t>
      </w:r>
      <w:r w:rsidR="00A5418A" w:rsidRPr="00E46E16">
        <w:rPr>
          <w:rFonts w:ascii="Garamond" w:hAnsi="Garamond"/>
          <w:sz w:val="24"/>
          <w:szCs w:val="24"/>
        </w:rPr>
        <w:t>the Conservative</w:t>
      </w:r>
      <w:r w:rsidR="00A5418A">
        <w:rPr>
          <w:rFonts w:ascii="Garamond" w:hAnsi="Garamond"/>
          <w:sz w:val="24"/>
          <w:szCs w:val="24"/>
        </w:rPr>
        <w:t xml:space="preserve"> Party won </w:t>
      </w:r>
      <w:r w:rsidR="00A5418A">
        <w:rPr>
          <w:rFonts w:ascii="Garamond" w:hAnsi="Garamond"/>
          <w:sz w:val="24"/>
          <w:szCs w:val="24"/>
        </w:rPr>
        <w:lastRenderedPageBreak/>
        <w:t xml:space="preserve">an outright majority, while the Labour Party lost many seats and the Liberal Democrats, which used to be the junior coalition partner between 2010 and 2015, became marginal in the Parliament. In contrast, the nationalist Scottish National Party, which mostly campaigned </w:t>
      </w:r>
      <w:r w:rsidR="00437826">
        <w:rPr>
          <w:rFonts w:ascii="Garamond" w:hAnsi="Garamond"/>
          <w:sz w:val="24"/>
          <w:szCs w:val="24"/>
        </w:rPr>
        <w:t>on a ‘fightback’</w:t>
      </w:r>
      <w:r w:rsidR="00A5418A">
        <w:rPr>
          <w:rFonts w:ascii="Garamond" w:hAnsi="Garamond"/>
          <w:sz w:val="24"/>
          <w:szCs w:val="24"/>
        </w:rPr>
        <w:t xml:space="preserve"> anti-austerity programme, gained 56 out of the 58 Scottish seats and became an active political force in the opposition</w:t>
      </w:r>
      <w:r w:rsidR="0019431E">
        <w:rPr>
          <w:rFonts w:ascii="Garamond" w:hAnsi="Garamond"/>
          <w:sz w:val="24"/>
          <w:szCs w:val="24"/>
        </w:rPr>
        <w:t xml:space="preserve">. </w:t>
      </w:r>
      <w:r w:rsidR="00437826">
        <w:rPr>
          <w:rFonts w:ascii="Garamond" w:hAnsi="Garamond"/>
          <w:sz w:val="24"/>
          <w:szCs w:val="24"/>
        </w:rPr>
        <w:t xml:space="preserve">Yet, both the Conservative and Labour parties campaigned on reducing the budget deficit: as such, neo-liberal responses to the recession were broadly accepted amongst political elites. </w:t>
      </w:r>
      <w:r w:rsidR="0019431E">
        <w:rPr>
          <w:rFonts w:ascii="Garamond" w:hAnsi="Garamond"/>
          <w:sz w:val="24"/>
          <w:szCs w:val="24"/>
        </w:rPr>
        <w:t xml:space="preserve">The newly elected Conservative government immediately announced a series of measures to eliminate the budget deficit, and pledged to find £12 billion in welfare cuts. Benefit caps were </w:t>
      </w:r>
      <w:r w:rsidR="00437826">
        <w:rPr>
          <w:rFonts w:ascii="Garamond" w:hAnsi="Garamond"/>
          <w:sz w:val="24"/>
          <w:szCs w:val="24"/>
        </w:rPr>
        <w:t>reduced</w:t>
      </w:r>
      <w:r w:rsidR="0019431E">
        <w:rPr>
          <w:rFonts w:ascii="Garamond" w:hAnsi="Garamond"/>
          <w:sz w:val="24"/>
          <w:szCs w:val="24"/>
        </w:rPr>
        <w:t>,</w:t>
      </w:r>
      <w:r w:rsidR="00437826">
        <w:rPr>
          <w:rFonts w:ascii="Garamond" w:hAnsi="Garamond"/>
          <w:sz w:val="24"/>
          <w:szCs w:val="24"/>
        </w:rPr>
        <w:t xml:space="preserve"> a four-year benefits freeze was introduced, as well as a limit on child tax credit to two children. </w:t>
      </w:r>
      <w:r w:rsidR="00635509">
        <w:rPr>
          <w:rFonts w:ascii="Garamond" w:hAnsi="Garamond"/>
          <w:sz w:val="24"/>
          <w:szCs w:val="24"/>
        </w:rPr>
        <w:t>T</w:t>
      </w:r>
      <w:r w:rsidR="00010DCC">
        <w:rPr>
          <w:rFonts w:ascii="Garamond" w:hAnsi="Garamond"/>
          <w:sz w:val="24"/>
          <w:szCs w:val="24"/>
        </w:rPr>
        <w:t>he Government</w:t>
      </w:r>
      <w:r w:rsidR="007A6EDD">
        <w:rPr>
          <w:rFonts w:ascii="Garamond" w:hAnsi="Garamond"/>
          <w:sz w:val="24"/>
          <w:szCs w:val="24"/>
        </w:rPr>
        <w:t xml:space="preserve"> also</w:t>
      </w:r>
      <w:r w:rsidR="00010DCC">
        <w:rPr>
          <w:rFonts w:ascii="Garamond" w:hAnsi="Garamond"/>
          <w:sz w:val="24"/>
          <w:szCs w:val="24"/>
        </w:rPr>
        <w:t xml:space="preserve"> announced a rise in the minimum wage from £6.50 to £6.70 per hour</w:t>
      </w:r>
      <w:r w:rsidR="00635509">
        <w:rPr>
          <w:rFonts w:ascii="Garamond" w:hAnsi="Garamond"/>
          <w:sz w:val="24"/>
          <w:szCs w:val="24"/>
        </w:rPr>
        <w:t xml:space="preserve">, and pledged to create 3 million apprenticeships with a rate of </w:t>
      </w:r>
      <w:r w:rsidR="00635509" w:rsidRPr="00635509">
        <w:rPr>
          <w:rFonts w:ascii="Garamond" w:hAnsi="Garamond"/>
          <w:sz w:val="24"/>
          <w:szCs w:val="24"/>
        </w:rPr>
        <w:t>£3.30</w:t>
      </w:r>
      <w:r w:rsidR="00635509">
        <w:rPr>
          <w:rFonts w:ascii="Garamond" w:hAnsi="Garamond"/>
          <w:sz w:val="24"/>
          <w:szCs w:val="24"/>
        </w:rPr>
        <w:t xml:space="preserve"> per hour</w:t>
      </w:r>
      <w:r w:rsidR="00010DCC">
        <w:rPr>
          <w:rFonts w:ascii="Garamond" w:hAnsi="Garamond"/>
          <w:sz w:val="24"/>
          <w:szCs w:val="24"/>
        </w:rPr>
        <w:t xml:space="preserve">. </w:t>
      </w:r>
      <w:r w:rsidR="00437826">
        <w:rPr>
          <w:rFonts w:ascii="Garamond" w:hAnsi="Garamond"/>
          <w:sz w:val="24"/>
          <w:szCs w:val="24"/>
        </w:rPr>
        <w:t>In addition, the Prime Minister is holding negotiations with EU partners to limit benefits available to EU migrants over time. It is believed that reforms surrounding the UK’s relationship with the European Union will lea</w:t>
      </w:r>
      <w:r w:rsidR="00314BD2">
        <w:rPr>
          <w:rFonts w:ascii="Garamond" w:hAnsi="Garamond"/>
          <w:sz w:val="24"/>
          <w:szCs w:val="24"/>
        </w:rPr>
        <w:t>d to such welfare restrictions. In addition, the rise of the UK Independence Party, which won the 2014 European elections, suggests that Euroscepticism and welfare chauvinism is on the rise in the United Kingdom.</w:t>
      </w:r>
    </w:p>
    <w:p w:rsidR="005B27F7" w:rsidRDefault="002F3343" w:rsidP="00C17411">
      <w:pPr>
        <w:jc w:val="both"/>
        <w:rPr>
          <w:rFonts w:ascii="Garamond" w:hAnsi="Garamond"/>
          <w:sz w:val="24"/>
          <w:szCs w:val="24"/>
        </w:rPr>
      </w:pPr>
      <w:r>
        <w:rPr>
          <w:rFonts w:ascii="Garamond" w:hAnsi="Garamond"/>
          <w:sz w:val="24"/>
          <w:szCs w:val="24"/>
        </w:rPr>
        <w:t>In sum, t</w:t>
      </w:r>
      <w:r w:rsidR="005B27F7">
        <w:rPr>
          <w:rFonts w:ascii="Garamond" w:hAnsi="Garamond"/>
          <w:sz w:val="24"/>
          <w:szCs w:val="24"/>
        </w:rPr>
        <w:t xml:space="preserve">he experience of the five countries on which the project focuses reflects </w:t>
      </w:r>
      <w:r>
        <w:rPr>
          <w:rFonts w:ascii="Garamond" w:hAnsi="Garamond"/>
          <w:sz w:val="24"/>
          <w:szCs w:val="24"/>
        </w:rPr>
        <w:t>common</w:t>
      </w:r>
      <w:r w:rsidR="005B27F7">
        <w:rPr>
          <w:rFonts w:ascii="Garamond" w:hAnsi="Garamond"/>
          <w:sz w:val="24"/>
          <w:szCs w:val="24"/>
        </w:rPr>
        <w:t xml:space="preserve"> </w:t>
      </w:r>
      <w:r>
        <w:rPr>
          <w:rFonts w:ascii="Garamond" w:hAnsi="Garamond"/>
          <w:sz w:val="24"/>
          <w:szCs w:val="24"/>
        </w:rPr>
        <w:t>experiences</w:t>
      </w:r>
      <w:r w:rsidR="005B27F7">
        <w:rPr>
          <w:rFonts w:ascii="Garamond" w:hAnsi="Garamond"/>
          <w:sz w:val="24"/>
          <w:szCs w:val="24"/>
        </w:rPr>
        <w:t xml:space="preserve"> across Europe. The initial response to the Great Recession has been a Keynesian state intervention programme to stimulate demand. However</w:t>
      </w:r>
      <w:r>
        <w:rPr>
          <w:rFonts w:ascii="Garamond" w:hAnsi="Garamond"/>
          <w:sz w:val="24"/>
          <w:szCs w:val="24"/>
        </w:rPr>
        <w:t>,</w:t>
      </w:r>
      <w:r w:rsidR="005B27F7">
        <w:rPr>
          <w:rFonts w:ascii="Garamond" w:hAnsi="Garamond"/>
          <w:sz w:val="24"/>
          <w:szCs w:val="24"/>
        </w:rPr>
        <w:t xml:space="preserve"> by 2010</w:t>
      </w:r>
      <w:r>
        <w:rPr>
          <w:rFonts w:ascii="Garamond" w:hAnsi="Garamond"/>
          <w:sz w:val="24"/>
          <w:szCs w:val="24"/>
        </w:rPr>
        <w:t>,</w:t>
      </w:r>
      <w:r w:rsidR="005B27F7">
        <w:rPr>
          <w:rFonts w:ascii="Garamond" w:hAnsi="Garamond"/>
          <w:sz w:val="24"/>
          <w:szCs w:val="24"/>
        </w:rPr>
        <w:t xml:space="preserve"> policy had moved to a more neo-liberal retrenchment with measures to enhance work incentives and also some social investment to mobilise workers. In most </w:t>
      </w:r>
      <w:r w:rsidR="00D64B77">
        <w:rPr>
          <w:rFonts w:ascii="Garamond" w:hAnsi="Garamond"/>
          <w:sz w:val="24"/>
          <w:szCs w:val="24"/>
        </w:rPr>
        <w:t>countries</w:t>
      </w:r>
      <w:r>
        <w:rPr>
          <w:rFonts w:ascii="Garamond" w:hAnsi="Garamond"/>
          <w:sz w:val="24"/>
          <w:szCs w:val="24"/>
        </w:rPr>
        <w:t>,</w:t>
      </w:r>
      <w:r w:rsidR="005B27F7">
        <w:rPr>
          <w:rFonts w:ascii="Garamond" w:hAnsi="Garamond"/>
          <w:sz w:val="24"/>
          <w:szCs w:val="24"/>
        </w:rPr>
        <w:t xml:space="preserve"> chauvinistic responses to immigration were evident. By 2015</w:t>
      </w:r>
      <w:r>
        <w:rPr>
          <w:rFonts w:ascii="Garamond" w:hAnsi="Garamond"/>
          <w:sz w:val="24"/>
          <w:szCs w:val="24"/>
        </w:rPr>
        <w:t>, right-</w:t>
      </w:r>
      <w:r w:rsidR="005B27F7">
        <w:rPr>
          <w:rFonts w:ascii="Garamond" w:hAnsi="Garamond"/>
          <w:sz w:val="24"/>
          <w:szCs w:val="24"/>
        </w:rPr>
        <w:t>wing governments were in power in all countries. One significant division lies between those where governments wished to retain or expand welfare spending, although limiting it to non-immigrant</w:t>
      </w:r>
      <w:r w:rsidR="00D24579">
        <w:rPr>
          <w:rFonts w:ascii="Garamond" w:hAnsi="Garamond"/>
          <w:sz w:val="24"/>
          <w:szCs w:val="24"/>
        </w:rPr>
        <w:t xml:space="preserve"> groups </w:t>
      </w:r>
      <w:r w:rsidR="005B27F7">
        <w:rPr>
          <w:rFonts w:ascii="Garamond" w:hAnsi="Garamond"/>
          <w:sz w:val="24"/>
          <w:szCs w:val="24"/>
        </w:rPr>
        <w:t xml:space="preserve">or to retrench while also </w:t>
      </w:r>
      <w:r w:rsidR="00D64B77">
        <w:rPr>
          <w:rFonts w:ascii="Garamond" w:hAnsi="Garamond"/>
          <w:sz w:val="24"/>
          <w:szCs w:val="24"/>
        </w:rPr>
        <w:t>focusing</w:t>
      </w:r>
      <w:r w:rsidR="005B27F7">
        <w:rPr>
          <w:rFonts w:ascii="Garamond" w:hAnsi="Garamond"/>
          <w:sz w:val="24"/>
          <w:szCs w:val="24"/>
        </w:rPr>
        <w:t xml:space="preserve"> welfare on established national citizens.</w:t>
      </w:r>
    </w:p>
    <w:p w:rsidR="00475251" w:rsidRPr="00DC0A4B" w:rsidRDefault="0058485E">
      <w:pPr>
        <w:rPr>
          <w:rFonts w:ascii="Garamond" w:hAnsi="Garamond"/>
          <w:b/>
          <w:sz w:val="28"/>
          <w:u w:val="single"/>
        </w:rPr>
      </w:pPr>
      <w:r w:rsidRPr="00DC0A4B">
        <w:rPr>
          <w:rFonts w:ascii="Garamond" w:hAnsi="Garamond"/>
          <w:b/>
          <w:sz w:val="28"/>
          <w:u w:val="single"/>
        </w:rPr>
        <w:t>Public attitudes towards the welfare state</w:t>
      </w:r>
    </w:p>
    <w:p w:rsidR="0058485E" w:rsidRDefault="0058485E" w:rsidP="0058485E">
      <w:pPr>
        <w:jc w:val="both"/>
        <w:rPr>
          <w:rFonts w:ascii="Garamond" w:hAnsi="Garamond"/>
          <w:sz w:val="24"/>
        </w:rPr>
      </w:pPr>
      <w:r>
        <w:rPr>
          <w:rFonts w:ascii="Garamond" w:hAnsi="Garamond"/>
          <w:sz w:val="24"/>
        </w:rPr>
        <w:t>Within the framework of our WelfSOC project, the democratic forums will focus on the following question: “</w:t>
      </w:r>
      <w:r w:rsidRPr="0058485E">
        <w:rPr>
          <w:rFonts w:ascii="Garamond" w:hAnsi="Garamond"/>
          <w:i/>
          <w:sz w:val="24"/>
        </w:rPr>
        <w:t>What should the priorities of the government in [country] be for benefits and services in 2040?</w:t>
      </w:r>
      <w:r>
        <w:rPr>
          <w:rFonts w:ascii="Garamond" w:hAnsi="Garamond"/>
          <w:sz w:val="24"/>
        </w:rPr>
        <w:t>”. While we would like participants to bring up the issues that appear to be the most important to them</w:t>
      </w:r>
      <w:r w:rsidR="00847A88">
        <w:rPr>
          <w:rFonts w:ascii="Garamond" w:hAnsi="Garamond"/>
          <w:sz w:val="24"/>
        </w:rPr>
        <w:t xml:space="preserve"> (see updated fieldwork specifications, to be discussed during the second co-ordinating chapter)</w:t>
      </w:r>
      <w:r>
        <w:rPr>
          <w:rFonts w:ascii="Garamond" w:hAnsi="Garamond"/>
          <w:sz w:val="24"/>
        </w:rPr>
        <w:t>, we have identified four overarching themes to assess public attitudes towards the welfare state: neo-liberalism, immigration, gender, and inequality. The aim of this section is to compare the relevance of each of these themes (and underlying issues) in the five countries analysed in the WelfSOC project.</w:t>
      </w:r>
      <w:r w:rsidR="00771C19">
        <w:rPr>
          <w:rFonts w:ascii="Garamond" w:hAnsi="Garamond"/>
          <w:sz w:val="24"/>
        </w:rPr>
        <w:t xml:space="preserve"> National and cross-national data are used in order to offer a broad comparative analysis</w:t>
      </w:r>
      <w:r w:rsidR="005B27F7">
        <w:rPr>
          <w:rFonts w:ascii="Garamond" w:hAnsi="Garamond"/>
          <w:sz w:val="24"/>
        </w:rPr>
        <w:t>. We analyse</w:t>
      </w:r>
      <w:r w:rsidR="00771C19">
        <w:rPr>
          <w:rFonts w:ascii="Garamond" w:hAnsi="Garamond"/>
          <w:sz w:val="24"/>
        </w:rPr>
        <w:t xml:space="preserve"> trends in the five countries considered.</w:t>
      </w:r>
    </w:p>
    <w:p w:rsidR="0058485E" w:rsidRPr="00DC0A4B" w:rsidRDefault="000855C7" w:rsidP="0058485E">
      <w:pPr>
        <w:jc w:val="both"/>
        <w:rPr>
          <w:rFonts w:ascii="Garamond" w:hAnsi="Garamond"/>
          <w:sz w:val="28"/>
          <w:u w:val="single"/>
        </w:rPr>
      </w:pPr>
      <w:r>
        <w:rPr>
          <w:rFonts w:ascii="Garamond" w:hAnsi="Garamond"/>
          <w:i/>
          <w:sz w:val="28"/>
          <w:u w:val="single"/>
        </w:rPr>
        <w:t>Attitudes towards n</w:t>
      </w:r>
      <w:r w:rsidR="0058485E" w:rsidRPr="00DC0A4B">
        <w:rPr>
          <w:rFonts w:ascii="Garamond" w:hAnsi="Garamond"/>
          <w:i/>
          <w:sz w:val="28"/>
          <w:u w:val="single"/>
        </w:rPr>
        <w:t>eo-liberalism</w:t>
      </w:r>
    </w:p>
    <w:p w:rsidR="004864A3" w:rsidRDefault="004864A3" w:rsidP="004864A3">
      <w:pPr>
        <w:jc w:val="both"/>
        <w:rPr>
          <w:rFonts w:ascii="Garamond" w:hAnsi="Garamond" w:cs="Times New Roman"/>
          <w:sz w:val="24"/>
          <w:szCs w:val="24"/>
        </w:rPr>
      </w:pPr>
      <w:r w:rsidRPr="004864A3">
        <w:rPr>
          <w:rFonts w:ascii="Garamond" w:hAnsi="Garamond" w:cs="Times New Roman"/>
          <w:sz w:val="24"/>
          <w:szCs w:val="24"/>
        </w:rPr>
        <w:t>Neo-liberalism is a policy paradigm which calls for the reduction of state intervention and a pre-</w:t>
      </w:r>
      <w:r w:rsidRPr="002D1EFC">
        <w:rPr>
          <w:rFonts w:ascii="Garamond" w:hAnsi="Garamond" w:cs="Times New Roman"/>
          <w:sz w:val="24"/>
          <w:szCs w:val="24"/>
        </w:rPr>
        <w:t>eminent role for the free market, so that taxation, regulation and state provision should be kept to a minimum and welfare state services privatised.</w:t>
      </w:r>
      <w:r w:rsidR="002D1EFC">
        <w:rPr>
          <w:rFonts w:ascii="Garamond" w:hAnsi="Garamond" w:cs="Times New Roman"/>
          <w:sz w:val="24"/>
          <w:szCs w:val="24"/>
        </w:rPr>
        <w:t xml:space="preserve"> With concerns over the size of budgetary deficits, austerity</w:t>
      </w:r>
      <w:r w:rsidRPr="002D1EFC">
        <w:rPr>
          <w:rFonts w:ascii="Garamond" w:hAnsi="Garamond" w:cs="Times New Roman"/>
          <w:sz w:val="24"/>
          <w:szCs w:val="24"/>
        </w:rPr>
        <w:t xml:space="preserve"> has been the predominant response to the Great Recession across Europe</w:t>
      </w:r>
      <w:r w:rsidR="002D1EFC" w:rsidRPr="002D1EFC">
        <w:rPr>
          <w:rFonts w:ascii="Garamond" w:hAnsi="Garamond" w:cs="Times New Roman"/>
          <w:sz w:val="24"/>
          <w:szCs w:val="24"/>
        </w:rPr>
        <w:t xml:space="preserve">. Austerity has been pursued with particular enthusiasm in UK, Ireland and Germany and with less vigour in </w:t>
      </w:r>
      <w:r w:rsidR="002D1EFC" w:rsidRPr="002D1EFC">
        <w:rPr>
          <w:rFonts w:ascii="Garamond" w:hAnsi="Garamond" w:cs="Times New Roman"/>
          <w:sz w:val="24"/>
          <w:szCs w:val="24"/>
        </w:rPr>
        <w:lastRenderedPageBreak/>
        <w:t>Spain, Italy and elsewhere. Two countries (France in 2012 and Greece in 2015) elected governments opposed to the logic of austerity</w:t>
      </w:r>
      <w:r w:rsidR="00A27B3E">
        <w:rPr>
          <w:rFonts w:ascii="Garamond" w:hAnsi="Garamond" w:cs="Times New Roman"/>
          <w:sz w:val="24"/>
          <w:szCs w:val="24"/>
        </w:rPr>
        <w:t>; b</w:t>
      </w:r>
      <w:r w:rsidR="00A27B3E" w:rsidRPr="002D1EFC">
        <w:rPr>
          <w:rFonts w:ascii="Garamond" w:hAnsi="Garamond" w:cs="Times New Roman"/>
          <w:sz w:val="24"/>
          <w:szCs w:val="24"/>
        </w:rPr>
        <w:t>oth have been forced to implement welfare and public sector cuts as a result of external economic pressures, reinforced by rising unemployment in the case of France.</w:t>
      </w:r>
      <w:r w:rsidR="00A27B3E">
        <w:rPr>
          <w:rFonts w:ascii="Garamond" w:hAnsi="Garamond" w:cs="Times New Roman"/>
          <w:sz w:val="24"/>
          <w:szCs w:val="24"/>
        </w:rPr>
        <w:t xml:space="preserve"> In Norway however, a neo-Keynesian approach was adopted as part of a broad political consensus</w:t>
      </w:r>
      <w:r w:rsidR="002D1EFC" w:rsidRPr="002D1EFC">
        <w:rPr>
          <w:rFonts w:ascii="Garamond" w:hAnsi="Garamond" w:cs="Times New Roman"/>
          <w:sz w:val="24"/>
          <w:szCs w:val="24"/>
        </w:rPr>
        <w:t xml:space="preserve">. </w:t>
      </w:r>
    </w:p>
    <w:p w:rsidR="00A17A72" w:rsidRDefault="00A27B3E" w:rsidP="004864A3">
      <w:pPr>
        <w:jc w:val="both"/>
        <w:rPr>
          <w:rFonts w:ascii="Garamond" w:hAnsi="Garamond" w:cs="Times New Roman"/>
          <w:sz w:val="24"/>
          <w:szCs w:val="24"/>
        </w:rPr>
      </w:pPr>
      <w:r>
        <w:rPr>
          <w:rFonts w:ascii="Garamond" w:hAnsi="Garamond" w:cs="Times New Roman"/>
          <w:sz w:val="24"/>
          <w:szCs w:val="24"/>
        </w:rPr>
        <w:t xml:space="preserve">Public attitudes towards neo-liberalism can be assessed with regards </w:t>
      </w:r>
      <w:r w:rsidR="001D41D2">
        <w:rPr>
          <w:rFonts w:ascii="Garamond" w:hAnsi="Garamond" w:cs="Times New Roman"/>
          <w:sz w:val="24"/>
          <w:szCs w:val="24"/>
        </w:rPr>
        <w:t xml:space="preserve">to </w:t>
      </w:r>
      <w:r w:rsidR="00A17A72">
        <w:rPr>
          <w:rFonts w:ascii="Garamond" w:hAnsi="Garamond" w:cs="Times New Roman"/>
          <w:sz w:val="24"/>
          <w:szCs w:val="24"/>
        </w:rPr>
        <w:t xml:space="preserve">the </w:t>
      </w:r>
      <w:r>
        <w:rPr>
          <w:rFonts w:ascii="Garamond" w:hAnsi="Garamond" w:cs="Times New Roman"/>
          <w:sz w:val="24"/>
          <w:szCs w:val="24"/>
        </w:rPr>
        <w:t xml:space="preserve">government’s </w:t>
      </w:r>
      <w:r w:rsidR="00A17A72">
        <w:rPr>
          <w:rFonts w:ascii="Garamond" w:hAnsi="Garamond" w:cs="Times New Roman"/>
          <w:sz w:val="24"/>
          <w:szCs w:val="24"/>
        </w:rPr>
        <w:t xml:space="preserve">role and </w:t>
      </w:r>
      <w:r w:rsidR="001D41D2">
        <w:rPr>
          <w:rFonts w:ascii="Garamond" w:hAnsi="Garamond" w:cs="Times New Roman"/>
          <w:sz w:val="24"/>
          <w:szCs w:val="24"/>
        </w:rPr>
        <w:t>responsibility, as well as on</w:t>
      </w:r>
      <w:r>
        <w:rPr>
          <w:rFonts w:ascii="Garamond" w:hAnsi="Garamond" w:cs="Times New Roman"/>
          <w:sz w:val="24"/>
          <w:szCs w:val="24"/>
        </w:rPr>
        <w:t xml:space="preserve"> </w:t>
      </w:r>
      <w:r w:rsidR="001D41D2">
        <w:rPr>
          <w:rFonts w:ascii="Garamond" w:hAnsi="Garamond" w:cs="Times New Roman"/>
          <w:sz w:val="24"/>
          <w:szCs w:val="24"/>
        </w:rPr>
        <w:t>taxation</w:t>
      </w:r>
      <w:r w:rsidR="00A17A72">
        <w:rPr>
          <w:rFonts w:ascii="Garamond" w:hAnsi="Garamond" w:cs="Times New Roman"/>
          <w:sz w:val="24"/>
          <w:szCs w:val="24"/>
        </w:rPr>
        <w:t xml:space="preserve"> and public spending.</w:t>
      </w:r>
    </w:p>
    <w:p w:rsidR="001E2A6F" w:rsidRPr="000B6872" w:rsidRDefault="00A17A72" w:rsidP="001E2A6F">
      <w:pPr>
        <w:pStyle w:val="ListParagraph"/>
        <w:numPr>
          <w:ilvl w:val="0"/>
          <w:numId w:val="5"/>
        </w:numPr>
        <w:jc w:val="both"/>
        <w:rPr>
          <w:rFonts w:ascii="Garamond" w:hAnsi="Garamond" w:cs="Times New Roman"/>
          <w:sz w:val="24"/>
          <w:szCs w:val="24"/>
        </w:rPr>
      </w:pPr>
      <w:r>
        <w:rPr>
          <w:rFonts w:ascii="Garamond" w:hAnsi="Garamond" w:cs="Times New Roman"/>
          <w:sz w:val="24"/>
          <w:szCs w:val="24"/>
        </w:rPr>
        <w:t>Government’s role and responsibility</w:t>
      </w:r>
      <w:r w:rsidR="001E2A6F">
        <w:rPr>
          <w:rFonts w:ascii="Garamond" w:hAnsi="Garamond" w:cs="Times New Roman"/>
          <w:sz w:val="24"/>
          <w:szCs w:val="24"/>
        </w:rPr>
        <w:t>:</w:t>
      </w:r>
    </w:p>
    <w:p w:rsidR="000B6872" w:rsidRDefault="000B6872" w:rsidP="000B6872">
      <w:pPr>
        <w:jc w:val="both"/>
        <w:rPr>
          <w:rFonts w:ascii="Garamond" w:hAnsi="Garamond" w:cs="Times New Roman"/>
          <w:sz w:val="24"/>
          <w:szCs w:val="24"/>
        </w:rPr>
      </w:pPr>
      <w:r>
        <w:rPr>
          <w:rFonts w:ascii="Garamond" w:hAnsi="Garamond" w:cs="Times New Roman"/>
          <w:sz w:val="24"/>
          <w:szCs w:val="24"/>
        </w:rPr>
        <w:t>The 2008 European Social Survey includes several questions examining people’s attitudes towards the role of the government (questions D15 to D20). In all countries surveyed, an overwhelming majority of respondents believe that it is the government’s responsibility to provide a series of benefits and services</w:t>
      </w:r>
      <w:r w:rsidR="005B27F7">
        <w:rPr>
          <w:rFonts w:ascii="Garamond" w:hAnsi="Garamond" w:cs="Times New Roman"/>
          <w:sz w:val="24"/>
          <w:szCs w:val="24"/>
        </w:rPr>
        <w:t xml:space="preserve"> spanning the traditional welfare state services for deserving non-workers (the old and the sick) and social investment to mobilise people into paid work and support workers:</w:t>
      </w:r>
      <w:r>
        <w:rPr>
          <w:rFonts w:ascii="Garamond" w:hAnsi="Garamond" w:cs="Times New Roman"/>
          <w:sz w:val="24"/>
          <w:szCs w:val="24"/>
        </w:rPr>
        <w:t xml:space="preserve"> childcare for working parents, healthcare for the sick, </w:t>
      </w:r>
      <w:r w:rsidRPr="00606B67">
        <w:rPr>
          <w:rFonts w:ascii="Garamond" w:hAnsi="Garamond" w:cs="Times New Roman"/>
          <w:sz w:val="24"/>
          <w:szCs w:val="24"/>
        </w:rPr>
        <w:t>paid leave from work for people who temporarily have to care for sick family members</w:t>
      </w:r>
      <w:r>
        <w:rPr>
          <w:rFonts w:ascii="Garamond" w:hAnsi="Garamond" w:cs="Times New Roman"/>
          <w:sz w:val="24"/>
          <w:szCs w:val="24"/>
        </w:rPr>
        <w:t>, and to ensure a reasonable standard of living for the old and the unemployed. Results are slightly more tempered when it comes to assessing the g</w:t>
      </w:r>
      <w:r w:rsidRPr="00E813DC">
        <w:rPr>
          <w:rFonts w:ascii="Garamond" w:hAnsi="Garamond" w:cs="Times New Roman"/>
          <w:sz w:val="24"/>
          <w:szCs w:val="24"/>
        </w:rPr>
        <w:t>overnment’s responsibility to provide jobs for everyone</w:t>
      </w:r>
      <w:r>
        <w:rPr>
          <w:rFonts w:ascii="Garamond" w:hAnsi="Garamond" w:cs="Times New Roman"/>
          <w:sz w:val="24"/>
          <w:szCs w:val="24"/>
        </w:rPr>
        <w:t xml:space="preserve">, especially in France (55.9 per cent) and Denmark (48.3 per cent). </w:t>
      </w:r>
    </w:p>
    <w:p w:rsidR="000B6872" w:rsidRPr="004F44E7" w:rsidRDefault="000B6872" w:rsidP="000B6872">
      <w:pPr>
        <w:jc w:val="both"/>
        <w:rPr>
          <w:rFonts w:ascii="Garamond" w:hAnsi="Garamond" w:cs="Times New Roman"/>
          <w:i/>
          <w:sz w:val="24"/>
          <w:szCs w:val="24"/>
        </w:rPr>
      </w:pPr>
      <w:r w:rsidRPr="00234321">
        <w:rPr>
          <w:rFonts w:ascii="Garamond" w:hAnsi="Garamond" w:cs="Times New Roman"/>
          <w:i/>
          <w:sz w:val="24"/>
          <w:szCs w:val="24"/>
        </w:rPr>
        <w:t>Government’s responsibility to provide childcare services for wo</w:t>
      </w:r>
      <w:r>
        <w:rPr>
          <w:rFonts w:ascii="Garamond" w:hAnsi="Garamond" w:cs="Times New Roman"/>
          <w:i/>
          <w:sz w:val="24"/>
          <w:szCs w:val="24"/>
        </w:rPr>
        <w:t>rking parents, total percentage</w:t>
      </w:r>
    </w:p>
    <w:p w:rsidR="000B6872" w:rsidRDefault="000B6872" w:rsidP="000B6872">
      <w:pPr>
        <w:jc w:val="center"/>
        <w:rPr>
          <w:rFonts w:ascii="Garamond" w:hAnsi="Garamond" w:cs="Times New Roman"/>
          <w:sz w:val="24"/>
          <w:szCs w:val="24"/>
        </w:rPr>
      </w:pPr>
      <w:r>
        <w:rPr>
          <w:noProof/>
          <w:lang w:eastAsia="en-GB"/>
        </w:rPr>
        <w:drawing>
          <wp:inline distT="0" distB="0" distL="0" distR="0">
            <wp:extent cx="3798849" cy="2111298"/>
            <wp:effectExtent l="0" t="0" r="11430" b="228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B6872" w:rsidRDefault="000B6872" w:rsidP="000B6872">
      <w:pPr>
        <w:jc w:val="center"/>
        <w:rPr>
          <w:rFonts w:ascii="Garamond" w:hAnsi="Garamond" w:cs="Times New Roman"/>
          <w:sz w:val="24"/>
          <w:szCs w:val="24"/>
        </w:rPr>
      </w:pPr>
    </w:p>
    <w:p w:rsidR="000B6872" w:rsidRPr="004F44E7" w:rsidRDefault="000B6872" w:rsidP="000B6872">
      <w:pPr>
        <w:keepNext/>
        <w:jc w:val="both"/>
        <w:rPr>
          <w:rFonts w:ascii="Garamond" w:hAnsi="Garamond" w:cs="Times New Roman"/>
          <w:i/>
          <w:sz w:val="24"/>
          <w:szCs w:val="24"/>
        </w:rPr>
      </w:pPr>
      <w:r w:rsidRPr="00234321">
        <w:rPr>
          <w:rFonts w:ascii="Garamond" w:hAnsi="Garamond" w:cs="Times New Roman"/>
          <w:i/>
          <w:sz w:val="24"/>
          <w:szCs w:val="24"/>
        </w:rPr>
        <w:lastRenderedPageBreak/>
        <w:t>Government’s responsibility to provide</w:t>
      </w:r>
      <w:r>
        <w:rPr>
          <w:rFonts w:ascii="Garamond" w:hAnsi="Garamond" w:cs="Times New Roman"/>
          <w:i/>
          <w:sz w:val="24"/>
          <w:szCs w:val="24"/>
        </w:rPr>
        <w:t xml:space="preserve"> healthcare for the sick, total percentage.</w:t>
      </w:r>
    </w:p>
    <w:p w:rsidR="000B6872" w:rsidRDefault="000B6872" w:rsidP="000B6872">
      <w:pPr>
        <w:jc w:val="center"/>
        <w:rPr>
          <w:rFonts w:ascii="Garamond" w:hAnsi="Garamond" w:cs="Times New Roman"/>
          <w:i/>
          <w:sz w:val="24"/>
          <w:szCs w:val="24"/>
        </w:rPr>
      </w:pPr>
      <w:r>
        <w:rPr>
          <w:noProof/>
          <w:lang w:eastAsia="en-GB"/>
        </w:rPr>
        <w:drawing>
          <wp:inline distT="0" distB="0" distL="0" distR="0">
            <wp:extent cx="3895493" cy="2118732"/>
            <wp:effectExtent l="0" t="0" r="10160" b="152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B6872" w:rsidRPr="004F44E7" w:rsidRDefault="000B6872" w:rsidP="000B6872">
      <w:pPr>
        <w:jc w:val="both"/>
        <w:rPr>
          <w:rFonts w:ascii="Garamond" w:hAnsi="Garamond" w:cs="Times New Roman"/>
          <w:i/>
          <w:sz w:val="24"/>
          <w:szCs w:val="24"/>
        </w:rPr>
      </w:pPr>
      <w:r w:rsidRPr="009C7497">
        <w:rPr>
          <w:rFonts w:ascii="Garamond" w:hAnsi="Garamond" w:cs="Times New Roman"/>
          <w:i/>
          <w:sz w:val="24"/>
          <w:szCs w:val="24"/>
        </w:rPr>
        <w:t>Government’s responsibility to provide paid leave from work for people who temporarily have to care for sick family members, total percentage</w:t>
      </w:r>
    </w:p>
    <w:p w:rsidR="000B6872" w:rsidRDefault="000B6872" w:rsidP="000B6872">
      <w:pPr>
        <w:jc w:val="center"/>
        <w:rPr>
          <w:rFonts w:ascii="Garamond" w:hAnsi="Garamond" w:cs="Times New Roman"/>
          <w:i/>
          <w:sz w:val="24"/>
          <w:szCs w:val="24"/>
        </w:rPr>
      </w:pPr>
      <w:r>
        <w:rPr>
          <w:noProof/>
          <w:lang w:eastAsia="en-GB"/>
        </w:rPr>
        <w:drawing>
          <wp:inline distT="0" distB="0" distL="0" distR="0">
            <wp:extent cx="3895493" cy="2215376"/>
            <wp:effectExtent l="0" t="0" r="10160" b="1397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B6872" w:rsidRPr="004F44E7" w:rsidRDefault="000B6872" w:rsidP="000B6872">
      <w:pPr>
        <w:jc w:val="both"/>
        <w:rPr>
          <w:rFonts w:ascii="Garamond" w:hAnsi="Garamond" w:cs="Times New Roman"/>
          <w:i/>
          <w:sz w:val="24"/>
          <w:szCs w:val="24"/>
        </w:rPr>
      </w:pPr>
      <w:r w:rsidRPr="00C70E1B">
        <w:rPr>
          <w:rFonts w:ascii="Garamond" w:hAnsi="Garamond" w:cs="Times New Roman"/>
          <w:i/>
          <w:sz w:val="24"/>
          <w:szCs w:val="24"/>
        </w:rPr>
        <w:t>Governments' responsibility to ensure a reasonable standard of living for the unemployed</w:t>
      </w:r>
      <w:r>
        <w:rPr>
          <w:rFonts w:ascii="Garamond" w:hAnsi="Garamond" w:cs="Times New Roman"/>
          <w:i/>
          <w:sz w:val="24"/>
          <w:szCs w:val="24"/>
        </w:rPr>
        <w:t>, total percentage</w:t>
      </w:r>
    </w:p>
    <w:p w:rsidR="000B6872" w:rsidRDefault="000B6872" w:rsidP="000B6872">
      <w:pPr>
        <w:jc w:val="center"/>
        <w:rPr>
          <w:rFonts w:ascii="Garamond" w:hAnsi="Garamond" w:cs="Times New Roman"/>
          <w:sz w:val="24"/>
          <w:szCs w:val="24"/>
        </w:rPr>
      </w:pPr>
      <w:r>
        <w:rPr>
          <w:noProof/>
          <w:lang w:eastAsia="en-GB"/>
        </w:rPr>
        <w:drawing>
          <wp:inline distT="0" distB="0" distL="0" distR="0">
            <wp:extent cx="3940098" cy="2341756"/>
            <wp:effectExtent l="0" t="0" r="22860" b="2095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B6872" w:rsidRDefault="000B6872" w:rsidP="000B6872">
      <w:pPr>
        <w:jc w:val="center"/>
        <w:rPr>
          <w:rFonts w:ascii="Garamond" w:hAnsi="Garamond" w:cs="Times New Roman"/>
          <w:sz w:val="24"/>
          <w:szCs w:val="24"/>
        </w:rPr>
      </w:pPr>
    </w:p>
    <w:p w:rsidR="000B6872" w:rsidRPr="006119BA" w:rsidRDefault="000B6872" w:rsidP="006119BA">
      <w:pPr>
        <w:keepNext/>
        <w:jc w:val="both"/>
        <w:rPr>
          <w:rFonts w:ascii="Garamond" w:hAnsi="Garamond" w:cs="Times New Roman"/>
          <w:i/>
          <w:sz w:val="24"/>
          <w:szCs w:val="24"/>
        </w:rPr>
      </w:pPr>
      <w:r w:rsidRPr="00C70E1B">
        <w:rPr>
          <w:rFonts w:ascii="Garamond" w:hAnsi="Garamond" w:cs="Times New Roman"/>
          <w:i/>
          <w:sz w:val="24"/>
          <w:szCs w:val="24"/>
        </w:rPr>
        <w:lastRenderedPageBreak/>
        <w:t>Government’s responsibility to ensure a reasonable standard of living for the old, total percentage</w:t>
      </w:r>
    </w:p>
    <w:p w:rsidR="000B6872" w:rsidRDefault="000B6872" w:rsidP="000B6872">
      <w:pPr>
        <w:keepNext/>
        <w:jc w:val="center"/>
        <w:rPr>
          <w:rFonts w:ascii="Garamond" w:hAnsi="Garamond" w:cs="Times New Roman"/>
          <w:sz w:val="24"/>
          <w:szCs w:val="24"/>
        </w:rPr>
      </w:pPr>
      <w:r>
        <w:rPr>
          <w:noProof/>
          <w:lang w:eastAsia="en-GB"/>
        </w:rPr>
        <w:drawing>
          <wp:inline distT="0" distB="0" distL="0" distR="0">
            <wp:extent cx="3992137" cy="2453268"/>
            <wp:effectExtent l="0" t="0" r="27940" b="2349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B6872" w:rsidRPr="00BE54E4" w:rsidRDefault="000B6872" w:rsidP="000B6872">
      <w:pPr>
        <w:jc w:val="both"/>
        <w:rPr>
          <w:rFonts w:ascii="Garamond" w:hAnsi="Garamond" w:cs="Times New Roman"/>
          <w:sz w:val="24"/>
          <w:szCs w:val="24"/>
        </w:rPr>
      </w:pPr>
      <w:r w:rsidRPr="00234321">
        <w:rPr>
          <w:rFonts w:ascii="Garamond" w:hAnsi="Garamond" w:cs="Times New Roman"/>
          <w:i/>
          <w:sz w:val="24"/>
          <w:szCs w:val="24"/>
        </w:rPr>
        <w:t>Government’s responsibility to provide</w:t>
      </w:r>
      <w:r>
        <w:rPr>
          <w:rFonts w:ascii="Garamond" w:hAnsi="Garamond" w:cs="Times New Roman"/>
          <w:i/>
          <w:sz w:val="24"/>
          <w:szCs w:val="24"/>
        </w:rPr>
        <w:t xml:space="preserve"> jobs for everyone, total percentage</w:t>
      </w:r>
    </w:p>
    <w:p w:rsidR="000B6872" w:rsidRDefault="000B6872" w:rsidP="000B6872">
      <w:pPr>
        <w:jc w:val="center"/>
        <w:rPr>
          <w:rFonts w:ascii="Garamond" w:hAnsi="Garamond" w:cs="Times New Roman"/>
          <w:sz w:val="24"/>
          <w:szCs w:val="24"/>
        </w:rPr>
      </w:pPr>
      <w:r>
        <w:rPr>
          <w:noProof/>
          <w:lang w:eastAsia="en-GB"/>
        </w:rPr>
        <w:drawing>
          <wp:inline distT="0" distB="0" distL="0" distR="0">
            <wp:extent cx="3992137" cy="2267414"/>
            <wp:effectExtent l="0" t="0" r="2794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72384" w:rsidRDefault="0069383D" w:rsidP="001E2A6F">
      <w:pPr>
        <w:jc w:val="both"/>
        <w:rPr>
          <w:rFonts w:ascii="Garamond" w:hAnsi="Garamond" w:cs="Times New Roman"/>
          <w:sz w:val="24"/>
          <w:szCs w:val="24"/>
        </w:rPr>
      </w:pPr>
      <w:r>
        <w:rPr>
          <w:rFonts w:ascii="Garamond" w:hAnsi="Garamond" w:cs="Times New Roman"/>
          <w:sz w:val="24"/>
          <w:szCs w:val="24"/>
        </w:rPr>
        <w:t>These results are confirmed by national data in Germany: 96 per cent of German respondents believe that the government is, strongly or partly, responsible for social security, while 33 per cent believe that private households are strongly responsible (see Heuer and Mau, draft chapter, pp. 16-17).</w:t>
      </w:r>
    </w:p>
    <w:p w:rsidR="00143F57" w:rsidRPr="001330E7" w:rsidRDefault="001E2A6F" w:rsidP="001330E7">
      <w:pPr>
        <w:pStyle w:val="ListParagraph"/>
        <w:numPr>
          <w:ilvl w:val="0"/>
          <w:numId w:val="5"/>
        </w:numPr>
        <w:jc w:val="both"/>
        <w:rPr>
          <w:rFonts w:ascii="Garamond" w:hAnsi="Garamond" w:cs="Times New Roman"/>
          <w:sz w:val="24"/>
          <w:szCs w:val="24"/>
        </w:rPr>
      </w:pPr>
      <w:r>
        <w:rPr>
          <w:rFonts w:ascii="Garamond" w:hAnsi="Garamond" w:cs="Times New Roman"/>
          <w:sz w:val="24"/>
          <w:szCs w:val="24"/>
        </w:rPr>
        <w:t>Taxation</w:t>
      </w:r>
      <w:r w:rsidR="001D41D2">
        <w:rPr>
          <w:rFonts w:ascii="Garamond" w:hAnsi="Garamond" w:cs="Times New Roman"/>
          <w:sz w:val="24"/>
          <w:szCs w:val="24"/>
        </w:rPr>
        <w:t xml:space="preserve"> and public spending</w:t>
      </w:r>
    </w:p>
    <w:p w:rsidR="00FC0000" w:rsidRDefault="00FC0000" w:rsidP="001E2A6F">
      <w:pPr>
        <w:jc w:val="both"/>
        <w:rPr>
          <w:rFonts w:ascii="Garamond" w:hAnsi="Garamond" w:cs="Times New Roman"/>
          <w:sz w:val="24"/>
          <w:szCs w:val="24"/>
        </w:rPr>
      </w:pPr>
      <w:r>
        <w:rPr>
          <w:rFonts w:ascii="Garamond" w:hAnsi="Garamond" w:cs="Times New Roman"/>
          <w:sz w:val="24"/>
          <w:szCs w:val="24"/>
        </w:rPr>
        <w:t xml:space="preserve">In Denmark, </w:t>
      </w:r>
      <w:r w:rsidR="005C0CDB">
        <w:rPr>
          <w:rFonts w:ascii="Garamond" w:hAnsi="Garamond" w:cs="Times New Roman"/>
          <w:sz w:val="24"/>
          <w:szCs w:val="24"/>
        </w:rPr>
        <w:t xml:space="preserve">public support for maintaining social welfare at least at the current level is strong, despite a short decline from 59 per cent in 2007 to 48 per cent. </w:t>
      </w:r>
      <w:r w:rsidR="007921DA">
        <w:rPr>
          <w:rFonts w:ascii="Garamond" w:hAnsi="Garamond" w:cs="Times New Roman"/>
          <w:sz w:val="24"/>
          <w:szCs w:val="24"/>
        </w:rPr>
        <w:t>Similarly, a majority of the Danish population prefers welfare pro</w:t>
      </w:r>
      <w:r w:rsidR="0023018A">
        <w:rPr>
          <w:rFonts w:ascii="Garamond" w:hAnsi="Garamond" w:cs="Times New Roman"/>
          <w:sz w:val="24"/>
          <w:szCs w:val="24"/>
        </w:rPr>
        <w:t>visions rather than tax relief: while in 1994, respondents tend to favour tax relief, preference for welfare progressively increased to</w:t>
      </w:r>
      <w:r w:rsidR="00824842">
        <w:rPr>
          <w:rFonts w:ascii="Garamond" w:hAnsi="Garamond" w:cs="Times New Roman"/>
          <w:sz w:val="24"/>
          <w:szCs w:val="24"/>
        </w:rPr>
        <w:t xml:space="preserve"> 46 per cent in 2007, with a small decline during the Great Recession</w:t>
      </w:r>
      <w:r w:rsidR="0023018A">
        <w:rPr>
          <w:rFonts w:ascii="Garamond" w:hAnsi="Garamond" w:cs="Times New Roman"/>
          <w:sz w:val="24"/>
          <w:szCs w:val="24"/>
        </w:rPr>
        <w:t xml:space="preserve"> (</w:t>
      </w:r>
      <w:r w:rsidR="009D270A">
        <w:rPr>
          <w:rFonts w:ascii="Garamond" w:hAnsi="Garamond" w:cs="Times New Roman"/>
          <w:sz w:val="24"/>
          <w:szCs w:val="24"/>
        </w:rPr>
        <w:t>35 per cent in 2011</w:t>
      </w:r>
      <w:r w:rsidR="0023018A">
        <w:rPr>
          <w:rFonts w:ascii="Garamond" w:hAnsi="Garamond" w:cs="Times New Roman"/>
          <w:sz w:val="24"/>
          <w:szCs w:val="24"/>
        </w:rPr>
        <w:t>)</w:t>
      </w:r>
      <w:r w:rsidR="00824842">
        <w:rPr>
          <w:rFonts w:ascii="Garamond" w:hAnsi="Garamond" w:cs="Times New Roman"/>
          <w:sz w:val="24"/>
          <w:szCs w:val="24"/>
        </w:rPr>
        <w:t>.</w:t>
      </w:r>
      <w:r w:rsidR="00064C09">
        <w:rPr>
          <w:rFonts w:ascii="Garamond" w:hAnsi="Garamond" w:cs="Times New Roman"/>
          <w:sz w:val="24"/>
          <w:szCs w:val="24"/>
        </w:rPr>
        <w:t xml:space="preserve"> </w:t>
      </w:r>
      <w:r w:rsidR="00B5253D">
        <w:rPr>
          <w:rFonts w:ascii="Garamond" w:hAnsi="Garamond" w:cs="Times New Roman"/>
          <w:sz w:val="24"/>
          <w:szCs w:val="24"/>
        </w:rPr>
        <w:t>Demand for ‘social investment’ expenditures,</w:t>
      </w:r>
      <w:r w:rsidR="009D270A">
        <w:rPr>
          <w:rFonts w:ascii="Garamond" w:hAnsi="Garamond" w:cs="Times New Roman"/>
          <w:sz w:val="24"/>
          <w:szCs w:val="24"/>
        </w:rPr>
        <w:t xml:space="preserve"> like kindergarten and education, has been increasingly important (respectively 64 p</w:t>
      </w:r>
      <w:r w:rsidR="00B5464E">
        <w:rPr>
          <w:rFonts w:ascii="Garamond" w:hAnsi="Garamond" w:cs="Times New Roman"/>
          <w:sz w:val="24"/>
          <w:szCs w:val="24"/>
        </w:rPr>
        <w:t>er cent and 59 per cent in 2011</w:t>
      </w:r>
      <w:r w:rsidR="009D270A">
        <w:rPr>
          <w:rFonts w:ascii="Garamond" w:hAnsi="Garamond" w:cs="Times New Roman"/>
          <w:sz w:val="24"/>
          <w:szCs w:val="24"/>
        </w:rPr>
        <w:t>).</w:t>
      </w:r>
      <w:r w:rsidR="00B5464E">
        <w:rPr>
          <w:rFonts w:ascii="Garamond" w:hAnsi="Garamond" w:cs="Times New Roman"/>
          <w:sz w:val="24"/>
          <w:szCs w:val="24"/>
        </w:rPr>
        <w:t xml:space="preserve"> Support for more government spending on unemployment benefits has also been fairly low for the past two decades (see Danish background paper, pp. 16-17 and Table 5).</w:t>
      </w:r>
    </w:p>
    <w:p w:rsidR="001E2A6F" w:rsidRDefault="00EA599E" w:rsidP="001E2A6F">
      <w:pPr>
        <w:jc w:val="both"/>
        <w:rPr>
          <w:rFonts w:ascii="Garamond" w:hAnsi="Garamond" w:cs="Times New Roman"/>
          <w:sz w:val="24"/>
          <w:szCs w:val="24"/>
        </w:rPr>
      </w:pPr>
      <w:r>
        <w:rPr>
          <w:rFonts w:ascii="Garamond" w:hAnsi="Garamond" w:cs="Times New Roman"/>
          <w:sz w:val="24"/>
          <w:szCs w:val="24"/>
        </w:rPr>
        <w:lastRenderedPageBreak/>
        <w:t xml:space="preserve">Based on national data, the percentage of the Norwegian population agreeing that high taxes are necessary to uphold important public services and believing that reducing taxes is not a political priority has considerably increased between 1999 and 2013 (+21 per cent for the former, +40 per cent for the latter; see </w:t>
      </w:r>
      <w:r>
        <w:rPr>
          <w:rFonts w:ascii="Garamond" w:hAnsi="Garamond"/>
          <w:sz w:val="24"/>
          <w:szCs w:val="24"/>
        </w:rPr>
        <w:t>Sørvoll, background paper, p. 32</w:t>
      </w:r>
      <w:r>
        <w:rPr>
          <w:rFonts w:ascii="Garamond" w:hAnsi="Garamond" w:cs="Times New Roman"/>
          <w:sz w:val="24"/>
          <w:szCs w:val="24"/>
        </w:rPr>
        <w:t xml:space="preserve">). </w:t>
      </w:r>
      <w:r w:rsidR="001E2A6F">
        <w:rPr>
          <w:rFonts w:ascii="Garamond" w:hAnsi="Garamond" w:cs="Times New Roman"/>
          <w:sz w:val="24"/>
          <w:szCs w:val="24"/>
        </w:rPr>
        <w:t xml:space="preserve">In </w:t>
      </w:r>
      <w:r>
        <w:rPr>
          <w:rFonts w:ascii="Garamond" w:hAnsi="Garamond" w:cs="Times New Roman"/>
          <w:sz w:val="24"/>
          <w:szCs w:val="24"/>
        </w:rPr>
        <w:t>addition</w:t>
      </w:r>
      <w:r w:rsidR="001E2A6F">
        <w:rPr>
          <w:rFonts w:ascii="Garamond" w:hAnsi="Garamond" w:cs="Times New Roman"/>
          <w:sz w:val="24"/>
          <w:szCs w:val="24"/>
        </w:rPr>
        <w:t xml:space="preserve">, the percentage of the </w:t>
      </w:r>
      <w:r>
        <w:rPr>
          <w:rFonts w:ascii="Garamond" w:hAnsi="Garamond" w:cs="Times New Roman"/>
          <w:sz w:val="24"/>
          <w:szCs w:val="24"/>
        </w:rPr>
        <w:t xml:space="preserve">Norwegian </w:t>
      </w:r>
      <w:r w:rsidR="001E2A6F">
        <w:rPr>
          <w:rFonts w:ascii="Garamond" w:hAnsi="Garamond" w:cs="Times New Roman"/>
          <w:sz w:val="24"/>
          <w:szCs w:val="24"/>
        </w:rPr>
        <w:t>population wishing to increase or keep welfare benefits at present level has decreased following the Great Recession, from 77 per cent in 2007 to 66 per cent in 2013</w:t>
      </w:r>
      <w:r w:rsidR="00514BEA">
        <w:rPr>
          <w:rFonts w:ascii="Garamond" w:hAnsi="Garamond" w:cs="Times New Roman"/>
          <w:sz w:val="24"/>
          <w:szCs w:val="24"/>
        </w:rPr>
        <w:t xml:space="preserve"> (see </w:t>
      </w:r>
      <w:r w:rsidR="00514BEA">
        <w:rPr>
          <w:rFonts w:ascii="Garamond" w:hAnsi="Garamond"/>
          <w:sz w:val="24"/>
          <w:szCs w:val="24"/>
        </w:rPr>
        <w:t>Sørvoll, background paper, p. 32)</w:t>
      </w:r>
      <w:r w:rsidR="001E2A6F">
        <w:rPr>
          <w:rFonts w:ascii="Garamond" w:hAnsi="Garamond" w:cs="Times New Roman"/>
          <w:sz w:val="24"/>
          <w:szCs w:val="24"/>
        </w:rPr>
        <w:t xml:space="preserve">. This may be quite interesting to investigate, since Norway opted for a neo-Keynesian response to the crisis and did not cut its welfare spending.   </w:t>
      </w:r>
    </w:p>
    <w:p w:rsidR="007B23B3" w:rsidRPr="001E2A6F" w:rsidRDefault="00081EDE" w:rsidP="001E2A6F">
      <w:pPr>
        <w:jc w:val="both"/>
        <w:rPr>
          <w:rFonts w:ascii="Garamond" w:hAnsi="Garamond" w:cs="Times New Roman"/>
          <w:sz w:val="24"/>
          <w:szCs w:val="24"/>
        </w:rPr>
      </w:pPr>
      <w:r>
        <w:rPr>
          <w:rFonts w:ascii="Garamond" w:hAnsi="Garamond" w:cs="Times New Roman"/>
          <w:sz w:val="24"/>
          <w:szCs w:val="24"/>
        </w:rPr>
        <w:t>The German population</w:t>
      </w:r>
      <w:r w:rsidR="007B23B3">
        <w:rPr>
          <w:rFonts w:ascii="Garamond" w:hAnsi="Garamond" w:cs="Times New Roman"/>
          <w:sz w:val="24"/>
          <w:szCs w:val="24"/>
        </w:rPr>
        <w:t xml:space="preserve"> display</w:t>
      </w:r>
      <w:r>
        <w:rPr>
          <w:rFonts w:ascii="Garamond" w:hAnsi="Garamond" w:cs="Times New Roman"/>
          <w:sz w:val="24"/>
          <w:szCs w:val="24"/>
        </w:rPr>
        <w:t>s</w:t>
      </w:r>
      <w:r w:rsidR="007B23B3">
        <w:rPr>
          <w:rFonts w:ascii="Garamond" w:hAnsi="Garamond" w:cs="Times New Roman"/>
          <w:sz w:val="24"/>
          <w:szCs w:val="24"/>
        </w:rPr>
        <w:t xml:space="preserve"> a shift towards a ‘social investment’</w:t>
      </w:r>
      <w:r w:rsidR="007C7BA0">
        <w:rPr>
          <w:rFonts w:ascii="Garamond" w:hAnsi="Garamond" w:cs="Times New Roman"/>
          <w:sz w:val="24"/>
          <w:szCs w:val="24"/>
        </w:rPr>
        <w:t xml:space="preserve"> paradigm</w:t>
      </w:r>
      <w:r w:rsidR="00B8381B">
        <w:rPr>
          <w:rFonts w:ascii="Garamond" w:hAnsi="Garamond" w:cs="Times New Roman"/>
          <w:sz w:val="24"/>
          <w:szCs w:val="24"/>
        </w:rPr>
        <w:t xml:space="preserve"> reflecting the policies of 2005-11</w:t>
      </w:r>
      <w:r w:rsidR="007C7BA0">
        <w:rPr>
          <w:rFonts w:ascii="Garamond" w:hAnsi="Garamond" w:cs="Times New Roman"/>
          <w:sz w:val="24"/>
          <w:szCs w:val="24"/>
        </w:rPr>
        <w:t>: when asked in which area the government should spend more, more than 80 per cent of respondents mentioned education in 2006, compared to less than 55 per cent in 1996. Healthcare comes second (more than 60 per cent), followed by pensions (more than 50 per cent; see Heuer and Mau, draft chapter, pp. 17-18).</w:t>
      </w:r>
    </w:p>
    <w:p w:rsidR="00BB7E89" w:rsidRDefault="003723EE" w:rsidP="004864A3">
      <w:pPr>
        <w:jc w:val="both"/>
        <w:rPr>
          <w:rFonts w:ascii="Garamond" w:hAnsi="Garamond" w:cs="Times New Roman"/>
          <w:sz w:val="24"/>
          <w:szCs w:val="24"/>
        </w:rPr>
      </w:pPr>
      <w:r>
        <w:rPr>
          <w:rFonts w:ascii="Garamond" w:hAnsi="Garamond" w:cs="Times New Roman"/>
          <w:sz w:val="24"/>
          <w:szCs w:val="24"/>
        </w:rPr>
        <w:t xml:space="preserve">In the United Kingdom, priorities for extra spending on social benefits have been relatively stable since the mid-1990s: </w:t>
      </w:r>
      <w:r w:rsidR="00522161">
        <w:rPr>
          <w:rFonts w:ascii="Garamond" w:hAnsi="Garamond" w:cs="Times New Roman"/>
          <w:sz w:val="24"/>
          <w:szCs w:val="24"/>
        </w:rPr>
        <w:t>pensions come</w:t>
      </w:r>
      <w:r>
        <w:rPr>
          <w:rFonts w:ascii="Garamond" w:hAnsi="Garamond" w:cs="Times New Roman"/>
          <w:sz w:val="24"/>
          <w:szCs w:val="24"/>
        </w:rPr>
        <w:t xml:space="preserve"> first (67 per cent in 2014), followed by benefits for disabled people (60 per cent)</w:t>
      </w:r>
      <w:r w:rsidR="00522161">
        <w:rPr>
          <w:rFonts w:ascii="Garamond" w:hAnsi="Garamond" w:cs="Times New Roman"/>
          <w:sz w:val="24"/>
          <w:szCs w:val="24"/>
        </w:rPr>
        <w:t xml:space="preserve"> and child benefits (36.9 per cent). Conversely, support for social investment </w:t>
      </w:r>
      <w:r w:rsidR="00B8381B">
        <w:rPr>
          <w:rFonts w:ascii="Garamond" w:hAnsi="Garamond" w:cs="Times New Roman"/>
          <w:sz w:val="24"/>
          <w:szCs w:val="24"/>
        </w:rPr>
        <w:t xml:space="preserve">and for unemployed people </w:t>
      </w:r>
      <w:r w:rsidR="00522161">
        <w:rPr>
          <w:rFonts w:ascii="Garamond" w:hAnsi="Garamond" w:cs="Times New Roman"/>
          <w:sz w:val="24"/>
          <w:szCs w:val="24"/>
        </w:rPr>
        <w:t xml:space="preserve">is low compared to </w:t>
      </w:r>
      <w:r w:rsidR="0051417A">
        <w:rPr>
          <w:rFonts w:ascii="Garamond" w:hAnsi="Garamond" w:cs="Times New Roman"/>
          <w:sz w:val="24"/>
          <w:szCs w:val="24"/>
        </w:rPr>
        <w:t>other European countries.</w:t>
      </w:r>
    </w:p>
    <w:p w:rsidR="007951AC" w:rsidRPr="008D7161" w:rsidRDefault="00C72384" w:rsidP="004864A3">
      <w:pPr>
        <w:jc w:val="both"/>
        <w:rPr>
          <w:rFonts w:ascii="Garamond" w:hAnsi="Garamond"/>
          <w:noProof/>
          <w:sz w:val="24"/>
          <w:lang w:eastAsia="en-GB"/>
        </w:rPr>
      </w:pPr>
      <w:r w:rsidRPr="008D7161">
        <w:rPr>
          <w:rFonts w:ascii="Garamond" w:hAnsi="Garamond"/>
          <w:noProof/>
          <w:sz w:val="24"/>
          <w:lang w:eastAsia="en-GB"/>
        </w:rPr>
        <w:t xml:space="preserve">The </w:t>
      </w:r>
      <w:r w:rsidR="008404ED" w:rsidRPr="008D7161">
        <w:rPr>
          <w:rFonts w:ascii="Garamond" w:hAnsi="Garamond"/>
          <w:noProof/>
          <w:sz w:val="24"/>
          <w:lang w:eastAsia="en-GB"/>
        </w:rPr>
        <w:t>cross-national International Social Survey</w:t>
      </w:r>
      <w:r w:rsidR="00ED29E8" w:rsidRPr="008D7161">
        <w:rPr>
          <w:rFonts w:ascii="Garamond" w:hAnsi="Garamond"/>
          <w:noProof/>
          <w:sz w:val="24"/>
          <w:lang w:eastAsia="en-GB"/>
        </w:rPr>
        <w:t xml:space="preserve"> Programme</w:t>
      </w:r>
      <w:r w:rsidR="008404ED" w:rsidRPr="008D7161">
        <w:rPr>
          <w:rFonts w:ascii="Garamond" w:hAnsi="Garamond"/>
          <w:noProof/>
          <w:sz w:val="24"/>
          <w:lang w:eastAsia="en-GB"/>
        </w:rPr>
        <w:t xml:space="preserve"> offer</w:t>
      </w:r>
      <w:r w:rsidR="00975E4E" w:rsidRPr="008D7161">
        <w:rPr>
          <w:rFonts w:ascii="Garamond" w:hAnsi="Garamond"/>
          <w:noProof/>
          <w:sz w:val="24"/>
          <w:lang w:eastAsia="en-GB"/>
        </w:rPr>
        <w:t>s</w:t>
      </w:r>
      <w:r w:rsidR="008404ED" w:rsidRPr="008D7161">
        <w:rPr>
          <w:rFonts w:ascii="Garamond" w:hAnsi="Garamond"/>
          <w:noProof/>
          <w:sz w:val="24"/>
          <w:lang w:eastAsia="en-GB"/>
        </w:rPr>
        <w:t xml:space="preserve"> comparative data on attitudes towards various areas of government spending. </w:t>
      </w:r>
      <w:r w:rsidR="00ED29E8" w:rsidRPr="008D7161">
        <w:rPr>
          <w:rFonts w:ascii="Garamond" w:hAnsi="Garamond"/>
          <w:noProof/>
          <w:sz w:val="24"/>
          <w:lang w:eastAsia="en-GB"/>
        </w:rPr>
        <w:t>Even though data from Denmark is only limited to one survey, it is possible to analyse the evolution of such attitudes in Germany, the United Kingdom, Norway and Slovenia.</w:t>
      </w:r>
      <w:r w:rsidR="004404D6" w:rsidRPr="008D7161">
        <w:rPr>
          <w:rFonts w:ascii="Garamond" w:hAnsi="Garamond"/>
          <w:noProof/>
          <w:sz w:val="24"/>
          <w:lang w:eastAsia="en-GB"/>
        </w:rPr>
        <w:t xml:space="preserve"> </w:t>
      </w:r>
      <w:r w:rsidR="00B5464E" w:rsidRPr="008D7161">
        <w:rPr>
          <w:rFonts w:ascii="Garamond" w:hAnsi="Garamond"/>
          <w:noProof/>
          <w:sz w:val="24"/>
          <w:lang w:eastAsia="en-GB"/>
        </w:rPr>
        <w:t xml:space="preserve">While support for more government spending in retirement benefits </w:t>
      </w:r>
      <w:r w:rsidR="000D5BF5" w:rsidRPr="008D7161">
        <w:rPr>
          <w:rFonts w:ascii="Garamond" w:hAnsi="Garamond"/>
          <w:noProof/>
          <w:sz w:val="24"/>
          <w:lang w:eastAsia="en-GB"/>
        </w:rPr>
        <w:t xml:space="preserve">and health services </w:t>
      </w:r>
      <w:r w:rsidR="00B5464E" w:rsidRPr="008D7161">
        <w:rPr>
          <w:rFonts w:ascii="Garamond" w:hAnsi="Garamond"/>
          <w:noProof/>
          <w:sz w:val="24"/>
          <w:lang w:eastAsia="en-GB"/>
        </w:rPr>
        <w:t xml:space="preserve">remained fairly stable over time, support for </w:t>
      </w:r>
      <w:r w:rsidR="008D7161">
        <w:rPr>
          <w:rFonts w:ascii="Garamond" w:hAnsi="Garamond"/>
          <w:noProof/>
          <w:sz w:val="24"/>
          <w:lang w:eastAsia="en-GB"/>
        </w:rPr>
        <w:t xml:space="preserve">more </w:t>
      </w:r>
      <w:r w:rsidR="00B5464E" w:rsidRPr="008D7161">
        <w:rPr>
          <w:rFonts w:ascii="Garamond" w:hAnsi="Garamond"/>
          <w:noProof/>
          <w:sz w:val="24"/>
          <w:lang w:eastAsia="en-GB"/>
        </w:rPr>
        <w:t>unemployment benefits decreased in all countries</w:t>
      </w:r>
      <w:r w:rsidR="008D7161">
        <w:rPr>
          <w:rFonts w:ascii="Garamond" w:hAnsi="Garamond"/>
          <w:noProof/>
          <w:sz w:val="24"/>
          <w:lang w:eastAsia="en-GB"/>
        </w:rPr>
        <w:t>, and more particularly in the United Kingdom</w:t>
      </w:r>
      <w:r w:rsidR="000D5BF5" w:rsidRPr="008D7161">
        <w:rPr>
          <w:rFonts w:ascii="Garamond" w:hAnsi="Garamond"/>
          <w:noProof/>
          <w:sz w:val="24"/>
          <w:lang w:eastAsia="en-GB"/>
        </w:rPr>
        <w:t xml:space="preserve">. </w:t>
      </w:r>
      <w:r w:rsidR="003939BB" w:rsidRPr="008D7161">
        <w:rPr>
          <w:rFonts w:ascii="Garamond" w:hAnsi="Garamond"/>
          <w:noProof/>
          <w:sz w:val="24"/>
          <w:lang w:eastAsia="en-GB"/>
        </w:rPr>
        <w:t xml:space="preserve">As far as education is concerned, support for more government spending has been very high since 1985, despite a slight decrease in support in Slovenia and in the United Kingdom. </w:t>
      </w:r>
    </w:p>
    <w:p w:rsidR="007951AC" w:rsidRPr="007951AC" w:rsidRDefault="007951AC" w:rsidP="004864A3">
      <w:pPr>
        <w:jc w:val="both"/>
        <w:rPr>
          <w:rFonts w:ascii="Garamond" w:hAnsi="Garamond"/>
          <w:i/>
          <w:noProof/>
          <w:lang w:eastAsia="en-GB"/>
        </w:rPr>
      </w:pPr>
      <w:r w:rsidRPr="007951AC">
        <w:rPr>
          <w:rFonts w:ascii="Garamond" w:hAnsi="Garamond"/>
          <w:i/>
          <w:noProof/>
          <w:lang w:eastAsia="en-GB"/>
        </w:rPr>
        <w:t>Public support for more government spending in retirement, 1985-2006</w:t>
      </w:r>
    </w:p>
    <w:p w:rsidR="002D1EFC" w:rsidRDefault="007951AC" w:rsidP="007951AC">
      <w:pPr>
        <w:jc w:val="center"/>
        <w:rPr>
          <w:rFonts w:ascii="Garamond" w:hAnsi="Garamond" w:cs="Times New Roman"/>
          <w:sz w:val="24"/>
          <w:szCs w:val="24"/>
        </w:rPr>
      </w:pPr>
      <w:r>
        <w:rPr>
          <w:noProof/>
          <w:lang w:eastAsia="en-GB"/>
        </w:rPr>
        <w:drawing>
          <wp:inline distT="0" distB="0" distL="0" distR="0">
            <wp:extent cx="4810836" cy="2354238"/>
            <wp:effectExtent l="0" t="0" r="27940" b="2730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D29E8" w:rsidRPr="007951AC" w:rsidRDefault="00ED29E8" w:rsidP="00ED29E8">
      <w:pPr>
        <w:keepNext/>
        <w:jc w:val="both"/>
        <w:rPr>
          <w:rFonts w:ascii="Garamond" w:hAnsi="Garamond"/>
          <w:i/>
          <w:noProof/>
          <w:lang w:eastAsia="en-GB"/>
        </w:rPr>
      </w:pPr>
      <w:r w:rsidRPr="007951AC">
        <w:rPr>
          <w:rFonts w:ascii="Garamond" w:hAnsi="Garamond"/>
          <w:i/>
          <w:noProof/>
          <w:lang w:eastAsia="en-GB"/>
        </w:rPr>
        <w:lastRenderedPageBreak/>
        <w:t xml:space="preserve">Public support for more government spending in </w:t>
      </w:r>
      <w:r>
        <w:rPr>
          <w:rFonts w:ascii="Garamond" w:hAnsi="Garamond"/>
          <w:i/>
          <w:noProof/>
          <w:lang w:eastAsia="en-GB"/>
        </w:rPr>
        <w:t>unemployment benefits</w:t>
      </w:r>
      <w:r w:rsidRPr="007951AC">
        <w:rPr>
          <w:rFonts w:ascii="Garamond" w:hAnsi="Garamond"/>
          <w:i/>
          <w:noProof/>
          <w:lang w:eastAsia="en-GB"/>
        </w:rPr>
        <w:t>, 1985-2006</w:t>
      </w:r>
    </w:p>
    <w:p w:rsidR="002F4D31" w:rsidRDefault="002F4D31" w:rsidP="00ED29E8">
      <w:pPr>
        <w:keepNext/>
        <w:jc w:val="center"/>
        <w:rPr>
          <w:rFonts w:ascii="Garamond" w:hAnsi="Garamond" w:cs="Times New Roman"/>
          <w:sz w:val="24"/>
          <w:szCs w:val="24"/>
        </w:rPr>
      </w:pPr>
      <w:r>
        <w:rPr>
          <w:noProof/>
          <w:lang w:eastAsia="en-GB"/>
        </w:rPr>
        <w:drawing>
          <wp:inline distT="0" distB="0" distL="0" distR="0">
            <wp:extent cx="4572000" cy="274320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D29E8" w:rsidRPr="007951AC" w:rsidRDefault="00ED29E8" w:rsidP="00ED29E8">
      <w:pPr>
        <w:jc w:val="both"/>
        <w:rPr>
          <w:rFonts w:ascii="Garamond" w:hAnsi="Garamond"/>
          <w:i/>
          <w:noProof/>
          <w:lang w:eastAsia="en-GB"/>
        </w:rPr>
      </w:pPr>
      <w:r w:rsidRPr="007951AC">
        <w:rPr>
          <w:rFonts w:ascii="Garamond" w:hAnsi="Garamond"/>
          <w:i/>
          <w:noProof/>
          <w:lang w:eastAsia="en-GB"/>
        </w:rPr>
        <w:t xml:space="preserve">Public support for more government spending in </w:t>
      </w:r>
      <w:r>
        <w:rPr>
          <w:rFonts w:ascii="Garamond" w:hAnsi="Garamond"/>
          <w:i/>
          <w:noProof/>
          <w:lang w:eastAsia="en-GB"/>
        </w:rPr>
        <w:t xml:space="preserve">health </w:t>
      </w:r>
      <w:r w:rsidR="000D5BF5">
        <w:rPr>
          <w:rFonts w:ascii="Garamond" w:hAnsi="Garamond"/>
          <w:i/>
          <w:noProof/>
          <w:lang w:eastAsia="en-GB"/>
        </w:rPr>
        <w:t>services</w:t>
      </w:r>
      <w:r w:rsidRPr="007951AC">
        <w:rPr>
          <w:rFonts w:ascii="Garamond" w:hAnsi="Garamond"/>
          <w:i/>
          <w:noProof/>
          <w:lang w:eastAsia="en-GB"/>
        </w:rPr>
        <w:t>, 1985-2006</w:t>
      </w:r>
    </w:p>
    <w:p w:rsidR="00ED29E8" w:rsidRDefault="00ED29E8" w:rsidP="00ED29E8">
      <w:pPr>
        <w:jc w:val="center"/>
        <w:rPr>
          <w:rFonts w:ascii="Garamond" w:hAnsi="Garamond" w:cs="Times New Roman"/>
          <w:sz w:val="24"/>
          <w:szCs w:val="24"/>
        </w:rPr>
      </w:pPr>
      <w:r>
        <w:rPr>
          <w:noProof/>
          <w:lang w:eastAsia="en-GB"/>
        </w:rPr>
        <w:drawing>
          <wp:inline distT="0" distB="0" distL="0" distR="0">
            <wp:extent cx="4572000" cy="2743200"/>
            <wp:effectExtent l="0" t="0" r="19050"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D29E8" w:rsidRDefault="00ED29E8" w:rsidP="00ED29E8">
      <w:pPr>
        <w:rPr>
          <w:rFonts w:ascii="Garamond" w:hAnsi="Garamond" w:cs="Times New Roman"/>
          <w:sz w:val="24"/>
          <w:szCs w:val="24"/>
        </w:rPr>
      </w:pPr>
    </w:p>
    <w:p w:rsidR="00ED29E8" w:rsidRPr="00E03215" w:rsidRDefault="00ED29E8" w:rsidP="00E03215">
      <w:pPr>
        <w:keepNext/>
        <w:jc w:val="both"/>
        <w:rPr>
          <w:rFonts w:ascii="Garamond" w:hAnsi="Garamond"/>
          <w:i/>
          <w:noProof/>
          <w:lang w:eastAsia="en-GB"/>
        </w:rPr>
      </w:pPr>
      <w:r w:rsidRPr="007951AC">
        <w:rPr>
          <w:rFonts w:ascii="Garamond" w:hAnsi="Garamond"/>
          <w:i/>
          <w:noProof/>
          <w:lang w:eastAsia="en-GB"/>
        </w:rPr>
        <w:lastRenderedPageBreak/>
        <w:t xml:space="preserve">Public support for more government spending in </w:t>
      </w:r>
      <w:r>
        <w:rPr>
          <w:rFonts w:ascii="Garamond" w:hAnsi="Garamond"/>
          <w:i/>
          <w:noProof/>
          <w:lang w:eastAsia="en-GB"/>
        </w:rPr>
        <w:t>education</w:t>
      </w:r>
      <w:r w:rsidRPr="007951AC">
        <w:rPr>
          <w:rFonts w:ascii="Garamond" w:hAnsi="Garamond"/>
          <w:i/>
          <w:noProof/>
          <w:lang w:eastAsia="en-GB"/>
        </w:rPr>
        <w:t>, 1985-2006</w:t>
      </w:r>
    </w:p>
    <w:p w:rsidR="00ED29E8" w:rsidRDefault="00ED29E8" w:rsidP="00ED29E8">
      <w:pPr>
        <w:keepNext/>
        <w:jc w:val="center"/>
        <w:rPr>
          <w:rFonts w:ascii="Garamond" w:hAnsi="Garamond" w:cs="Times New Roman"/>
          <w:sz w:val="24"/>
          <w:szCs w:val="24"/>
        </w:rPr>
      </w:pPr>
      <w:r>
        <w:rPr>
          <w:noProof/>
          <w:lang w:eastAsia="en-GB"/>
        </w:rPr>
        <w:drawing>
          <wp:inline distT="0" distB="0" distL="0" distR="0">
            <wp:extent cx="4572000" cy="274320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D1EFC" w:rsidRDefault="00AF6A23" w:rsidP="004864A3">
      <w:pPr>
        <w:jc w:val="both"/>
        <w:rPr>
          <w:rFonts w:ascii="Garamond" w:hAnsi="Garamond" w:cs="Times New Roman"/>
          <w:i/>
          <w:sz w:val="28"/>
          <w:szCs w:val="24"/>
          <w:u w:val="single"/>
        </w:rPr>
      </w:pPr>
      <w:r>
        <w:rPr>
          <w:rFonts w:ascii="Garamond" w:hAnsi="Garamond" w:cs="Times New Roman"/>
          <w:i/>
          <w:sz w:val="28"/>
          <w:szCs w:val="24"/>
          <w:u w:val="single"/>
        </w:rPr>
        <w:t>Attitudes towards immigration</w:t>
      </w:r>
    </w:p>
    <w:p w:rsidR="00AF6A23" w:rsidRDefault="00AF6A23" w:rsidP="00AF6A23">
      <w:pPr>
        <w:jc w:val="both"/>
        <w:rPr>
          <w:rFonts w:ascii="Garamond" w:hAnsi="Garamond" w:cs="Times New Roman"/>
          <w:sz w:val="24"/>
          <w:szCs w:val="24"/>
        </w:rPr>
      </w:pPr>
      <w:r w:rsidRPr="00C220D5">
        <w:rPr>
          <w:rFonts w:ascii="Garamond" w:hAnsi="Garamond" w:cs="Times New Roman"/>
          <w:sz w:val="24"/>
          <w:szCs w:val="24"/>
        </w:rPr>
        <w:t xml:space="preserve">Struggles over immigration from elsewhere in Europe and beyond have been increasingly significant across Europe, particularly in countries where immigration is high (or is perceived to be high), such as Germany, the United Kingdom, Greece and Slovenia. One outcome is a shift towards </w:t>
      </w:r>
      <w:r w:rsidRPr="008F07BC">
        <w:rPr>
          <w:rFonts w:ascii="Garamond" w:hAnsi="Garamond" w:cs="Times New Roman"/>
          <w:i/>
          <w:sz w:val="24"/>
          <w:szCs w:val="24"/>
        </w:rPr>
        <w:t>welfare chauvinism</w:t>
      </w:r>
      <w:r w:rsidR="009A75B7">
        <w:rPr>
          <w:rFonts w:ascii="Garamond" w:hAnsi="Garamond" w:cs="Times New Roman"/>
          <w:sz w:val="24"/>
          <w:szCs w:val="24"/>
        </w:rPr>
        <w:t xml:space="preserve"> (or welfare dualism)</w:t>
      </w:r>
      <w:r w:rsidRPr="008F07BC">
        <w:rPr>
          <w:rFonts w:ascii="Garamond" w:hAnsi="Garamond" w:cs="Times New Roman"/>
          <w:sz w:val="24"/>
          <w:szCs w:val="24"/>
        </w:rPr>
        <w:t xml:space="preserve">, often on the part of lower-income groups previously keen </w:t>
      </w:r>
      <w:r>
        <w:rPr>
          <w:rFonts w:ascii="Garamond" w:hAnsi="Garamond" w:cs="Times New Roman"/>
          <w:sz w:val="24"/>
          <w:szCs w:val="24"/>
        </w:rPr>
        <w:t>to support universal provision</w:t>
      </w:r>
      <w:r w:rsidRPr="008F07BC">
        <w:rPr>
          <w:rFonts w:ascii="Garamond" w:hAnsi="Garamond" w:cs="Times New Roman"/>
          <w:sz w:val="24"/>
          <w:szCs w:val="24"/>
        </w:rPr>
        <w:t xml:space="preserve">. Welfare chauvinism argues for the restriction of access to welfare state provisions to the native population. At the political level, such policy response is often advocated by right-to-populist-right political parties. </w:t>
      </w:r>
    </w:p>
    <w:p w:rsidR="00AF6A23" w:rsidRPr="00AF6A23" w:rsidRDefault="00AF6A23" w:rsidP="00AF6A23">
      <w:pPr>
        <w:jc w:val="both"/>
        <w:rPr>
          <w:rFonts w:ascii="Garamond" w:hAnsi="Garamond" w:cs="Times New Roman"/>
          <w:i/>
          <w:sz w:val="24"/>
          <w:szCs w:val="24"/>
        </w:rPr>
      </w:pPr>
      <w:r w:rsidRPr="008F07BC">
        <w:rPr>
          <w:rFonts w:ascii="Garamond" w:hAnsi="Garamond" w:cs="Times New Roman"/>
          <w:i/>
          <w:sz w:val="24"/>
          <w:szCs w:val="24"/>
        </w:rPr>
        <w:t>Percentage of foreign-born population, 2001-2012 (Source: OECD 2015)</w:t>
      </w:r>
    </w:p>
    <w:p w:rsidR="00AF6A23" w:rsidRDefault="00AF6A23" w:rsidP="00AF6A23">
      <w:pPr>
        <w:jc w:val="center"/>
        <w:rPr>
          <w:rFonts w:ascii="Garamond" w:hAnsi="Garamond" w:cs="Times New Roman"/>
          <w:sz w:val="24"/>
          <w:szCs w:val="24"/>
        </w:rPr>
      </w:pPr>
      <w:r>
        <w:rPr>
          <w:noProof/>
          <w:lang w:eastAsia="en-GB"/>
        </w:rPr>
        <w:drawing>
          <wp:inline distT="0" distB="0" distL="0" distR="0">
            <wp:extent cx="4304371" cy="2542478"/>
            <wp:effectExtent l="0" t="0" r="20320" b="1079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F6A23" w:rsidRPr="008F07BC" w:rsidRDefault="00AF6A23" w:rsidP="00AF6A23">
      <w:pPr>
        <w:jc w:val="both"/>
        <w:rPr>
          <w:rFonts w:ascii="Garamond" w:hAnsi="Garamond" w:cs="Times New Roman"/>
          <w:b/>
          <w:sz w:val="24"/>
          <w:szCs w:val="24"/>
        </w:rPr>
      </w:pPr>
      <w:r w:rsidRPr="008F07BC">
        <w:rPr>
          <w:rFonts w:ascii="Garamond" w:hAnsi="Garamond" w:cs="Times New Roman"/>
          <w:sz w:val="24"/>
          <w:szCs w:val="24"/>
        </w:rPr>
        <w:t xml:space="preserve">Two forms of chauvinism can be distinguished. Some political parties have adopted a ‘hard’ chauvinism, which requires the exclusion of would-be immigrants. Others have pursued a softer </w:t>
      </w:r>
      <w:r w:rsidRPr="008F07BC">
        <w:rPr>
          <w:rFonts w:ascii="Garamond" w:hAnsi="Garamond" w:cs="Times New Roman"/>
          <w:sz w:val="24"/>
          <w:szCs w:val="24"/>
        </w:rPr>
        <w:lastRenderedPageBreak/>
        <w:t>approach, calling for temporary restrictions on access to welfare provision for immigrants.</w:t>
      </w:r>
      <w:r>
        <w:rPr>
          <w:rFonts w:ascii="Garamond" w:hAnsi="Garamond" w:cs="Times New Roman"/>
          <w:sz w:val="24"/>
          <w:szCs w:val="24"/>
        </w:rPr>
        <w:t xml:space="preserve"> The European Social Survey conducted in 2008 reflects on such distinction. </w:t>
      </w:r>
    </w:p>
    <w:p w:rsidR="00B8545A" w:rsidRPr="008F07BC" w:rsidRDefault="00B8545A" w:rsidP="00B8545A">
      <w:pPr>
        <w:jc w:val="both"/>
        <w:rPr>
          <w:rFonts w:ascii="Garamond" w:hAnsi="Garamond" w:cs="Times New Roman"/>
          <w:b/>
          <w:sz w:val="24"/>
          <w:szCs w:val="24"/>
        </w:rPr>
      </w:pPr>
    </w:p>
    <w:p w:rsidR="00B8545A" w:rsidRPr="00C220D5" w:rsidRDefault="00B8545A" w:rsidP="00B8545A">
      <w:pPr>
        <w:jc w:val="center"/>
        <w:rPr>
          <w:rFonts w:ascii="Garamond" w:hAnsi="Garamond"/>
          <w:sz w:val="24"/>
          <w:szCs w:val="24"/>
        </w:rPr>
      </w:pPr>
      <w:r>
        <w:rPr>
          <w:noProof/>
          <w:lang w:eastAsia="en-GB"/>
        </w:rPr>
        <w:drawing>
          <wp:inline distT="0" distB="0" distL="0" distR="0">
            <wp:extent cx="5285678" cy="3100039"/>
            <wp:effectExtent l="0" t="0" r="10795" b="247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8545A" w:rsidRDefault="00B8545A" w:rsidP="00B8545A">
      <w:pPr>
        <w:jc w:val="both"/>
        <w:rPr>
          <w:rFonts w:ascii="Garamond" w:hAnsi="Garamond"/>
          <w:i/>
          <w:sz w:val="24"/>
          <w:szCs w:val="24"/>
        </w:rPr>
      </w:pPr>
      <w:r w:rsidRPr="006640F9">
        <w:rPr>
          <w:rFonts w:ascii="Garamond" w:hAnsi="Garamond"/>
          <w:i/>
          <w:sz w:val="24"/>
          <w:szCs w:val="24"/>
        </w:rPr>
        <w:t>When should immigrants obtain rights to social benefits/services? (Source: European Social Survey 2008</w:t>
      </w:r>
      <w:r>
        <w:rPr>
          <w:rFonts w:ascii="Garamond" w:hAnsi="Garamond"/>
          <w:i/>
          <w:sz w:val="24"/>
          <w:szCs w:val="24"/>
        </w:rPr>
        <w:t>, Question D38</w:t>
      </w:r>
      <w:r w:rsidRPr="006640F9">
        <w:rPr>
          <w:rFonts w:ascii="Garamond" w:hAnsi="Garamond"/>
          <w:i/>
          <w:sz w:val="24"/>
          <w:szCs w:val="24"/>
        </w:rPr>
        <w:t>)</w:t>
      </w:r>
    </w:p>
    <w:p w:rsidR="00AF6A23" w:rsidRDefault="00B8545A" w:rsidP="00B8545A">
      <w:pPr>
        <w:jc w:val="both"/>
        <w:rPr>
          <w:rFonts w:ascii="Garamond" w:hAnsi="Garamond"/>
          <w:sz w:val="24"/>
          <w:szCs w:val="24"/>
        </w:rPr>
      </w:pPr>
      <w:r>
        <w:rPr>
          <w:rFonts w:ascii="Garamond" w:hAnsi="Garamond"/>
          <w:sz w:val="24"/>
          <w:szCs w:val="24"/>
        </w:rPr>
        <w:t>The survey demonstrates high levels of ‘soft’ chauvinism across Europe, with respondents tending to favour migrants’ access to welfare provisions after they worked and paid taxes for at least a year. Such provision is particularly popular in the United Kingdom (48.5 per cent), France (46.8 per cent) and Germany (42.6 per cent). In Slovenia, the majority of respondents link social benefits and services to citizenship (51.4 per cent); as such, Slovenia favour more restrictions than the rest of Europe. Comparatively speaking, Swedish attitudes are less chauvinistic than in the rest of Europe, with 19.5 per cent of respondents believing that immigrants should be entitled to receive benefits/services immediately on arrival. ‘Hard’ chauvinism, however, tend to be less popular, though Greece displays a noticeable level of support compared to other countries (19.3 per cent).</w:t>
      </w:r>
    </w:p>
    <w:p w:rsidR="00B5493C" w:rsidRDefault="00B5493C" w:rsidP="00B8545A">
      <w:pPr>
        <w:jc w:val="both"/>
        <w:rPr>
          <w:rFonts w:ascii="Garamond" w:hAnsi="Garamond"/>
          <w:sz w:val="24"/>
          <w:szCs w:val="24"/>
        </w:rPr>
      </w:pPr>
    </w:p>
    <w:p w:rsidR="000A41A4" w:rsidRDefault="000A41A4" w:rsidP="000A41A4">
      <w:pPr>
        <w:jc w:val="center"/>
        <w:rPr>
          <w:rFonts w:ascii="Garamond" w:hAnsi="Garamond"/>
          <w:sz w:val="24"/>
          <w:szCs w:val="24"/>
        </w:rPr>
      </w:pPr>
      <w:r>
        <w:rPr>
          <w:noProof/>
          <w:lang w:eastAsia="en-GB"/>
        </w:rPr>
        <w:lastRenderedPageBreak/>
        <w:drawing>
          <wp:inline distT="0" distB="0" distL="0" distR="0">
            <wp:extent cx="4282068" cy="2564780"/>
            <wp:effectExtent l="0" t="0" r="23495" b="260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A41A4" w:rsidRDefault="000A41A4" w:rsidP="000A41A4">
      <w:pPr>
        <w:jc w:val="both"/>
        <w:rPr>
          <w:rFonts w:ascii="Garamond" w:hAnsi="Garamond"/>
          <w:i/>
          <w:sz w:val="24"/>
          <w:szCs w:val="24"/>
        </w:rPr>
      </w:pPr>
      <w:r w:rsidRPr="00F24896">
        <w:rPr>
          <w:rFonts w:ascii="Garamond" w:hAnsi="Garamond"/>
          <w:i/>
          <w:sz w:val="24"/>
          <w:szCs w:val="24"/>
        </w:rPr>
        <w:t>Social benefits/services encourage people from other countries to come live here (Source: ESS 2008</w:t>
      </w:r>
      <w:r>
        <w:rPr>
          <w:rFonts w:ascii="Garamond" w:hAnsi="Garamond"/>
          <w:i/>
          <w:sz w:val="24"/>
          <w:szCs w:val="24"/>
        </w:rPr>
        <w:t>, Questions D21-26</w:t>
      </w:r>
      <w:r w:rsidRPr="00F24896">
        <w:rPr>
          <w:rFonts w:ascii="Garamond" w:hAnsi="Garamond"/>
          <w:i/>
          <w:sz w:val="24"/>
          <w:szCs w:val="24"/>
        </w:rPr>
        <w:t>)</w:t>
      </w:r>
    </w:p>
    <w:p w:rsidR="000A41A4" w:rsidRPr="00F323D1" w:rsidRDefault="000A41A4" w:rsidP="000A41A4">
      <w:pPr>
        <w:jc w:val="both"/>
        <w:rPr>
          <w:rFonts w:ascii="Garamond" w:hAnsi="Garamond"/>
          <w:sz w:val="24"/>
          <w:szCs w:val="24"/>
        </w:rPr>
      </w:pPr>
      <w:r>
        <w:rPr>
          <w:rFonts w:ascii="Garamond" w:hAnsi="Garamond"/>
          <w:sz w:val="24"/>
          <w:szCs w:val="24"/>
        </w:rPr>
        <w:t>The ESS survey further indicates that an overwhelming majority of respondents across Europe believe that social benefits and services tend to encourage people from other countries to settle in their own country. Yet, Slovenia stands out, demonstrating ambivalent attitudes on this matter. Even though such question cannot be interpreted as an expression of welfare chauvinism per se, it shows that European populations believe that their own welfare provisions are generous enough to attract immigrants.</w:t>
      </w:r>
    </w:p>
    <w:p w:rsidR="000A41A4" w:rsidRDefault="000A41A4" w:rsidP="000A41A4">
      <w:pPr>
        <w:jc w:val="center"/>
        <w:rPr>
          <w:rFonts w:ascii="Garamond" w:hAnsi="Garamond"/>
          <w:sz w:val="24"/>
          <w:szCs w:val="24"/>
        </w:rPr>
      </w:pPr>
      <w:r>
        <w:rPr>
          <w:noProof/>
          <w:lang w:eastAsia="en-GB"/>
        </w:rPr>
        <w:drawing>
          <wp:inline distT="0" distB="0" distL="0" distR="0">
            <wp:extent cx="4401015" cy="2059259"/>
            <wp:effectExtent l="0" t="0" r="19050" b="177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A41A4" w:rsidRPr="00F24896" w:rsidRDefault="000A41A4" w:rsidP="000A41A4">
      <w:pPr>
        <w:jc w:val="both"/>
        <w:rPr>
          <w:rFonts w:ascii="Garamond" w:hAnsi="Garamond"/>
          <w:i/>
          <w:sz w:val="24"/>
          <w:szCs w:val="24"/>
        </w:rPr>
      </w:pPr>
      <w:r w:rsidRPr="00F24896">
        <w:rPr>
          <w:rFonts w:ascii="Garamond" w:hAnsi="Garamond"/>
          <w:i/>
          <w:sz w:val="24"/>
          <w:szCs w:val="24"/>
        </w:rPr>
        <w:t>Immigrants receive more or less than they contribute</w:t>
      </w:r>
      <w:r>
        <w:rPr>
          <w:rFonts w:ascii="Garamond" w:hAnsi="Garamond"/>
          <w:i/>
          <w:sz w:val="24"/>
          <w:szCs w:val="24"/>
        </w:rPr>
        <w:t xml:space="preserve"> (% total)</w:t>
      </w:r>
    </w:p>
    <w:p w:rsidR="000A41A4" w:rsidRDefault="000A41A4" w:rsidP="000A41A4">
      <w:pPr>
        <w:jc w:val="both"/>
        <w:rPr>
          <w:rFonts w:ascii="Garamond" w:hAnsi="Garamond"/>
          <w:i/>
          <w:sz w:val="24"/>
          <w:szCs w:val="24"/>
        </w:rPr>
      </w:pPr>
      <w:r>
        <w:rPr>
          <w:rFonts w:ascii="Garamond" w:hAnsi="Garamond"/>
          <w:i/>
          <w:sz w:val="24"/>
          <w:szCs w:val="24"/>
        </w:rPr>
        <w:t>Source: ESS 2008, q</w:t>
      </w:r>
      <w:r w:rsidRPr="00F24896">
        <w:rPr>
          <w:rFonts w:ascii="Garamond" w:hAnsi="Garamond"/>
          <w:i/>
          <w:sz w:val="24"/>
          <w:szCs w:val="24"/>
        </w:rPr>
        <w:t>uestion</w:t>
      </w:r>
      <w:r>
        <w:rPr>
          <w:rFonts w:ascii="Garamond" w:hAnsi="Garamond"/>
          <w:i/>
          <w:sz w:val="24"/>
          <w:szCs w:val="24"/>
        </w:rPr>
        <w:t xml:space="preserve"> D39.</w:t>
      </w:r>
    </w:p>
    <w:p w:rsidR="000A41A4" w:rsidRPr="00963CD1" w:rsidRDefault="000A41A4" w:rsidP="000A41A4">
      <w:pPr>
        <w:jc w:val="both"/>
        <w:rPr>
          <w:rFonts w:ascii="Garamond" w:hAnsi="Garamond"/>
          <w:sz w:val="24"/>
          <w:szCs w:val="24"/>
        </w:rPr>
      </w:pPr>
      <w:r>
        <w:rPr>
          <w:rFonts w:ascii="Garamond" w:hAnsi="Garamond"/>
          <w:sz w:val="24"/>
          <w:szCs w:val="24"/>
        </w:rPr>
        <w:t xml:space="preserve">Finally, the ESS data shows that most respondents believe that immigrants tend to receive more than they contribute, thus taking advantage of social benefits and services offered in their country of settlement. There is some cross-national variation: a majority of respondents in the United Kingdom (56.7 per cent), Germany (55.5 per cent) and Greece (51.9 per cent) believe immigrants receive more, while less than half of respondents from France (40.7 per cent) and Sweden (39.7 per cent) expressed such views. </w:t>
      </w:r>
    </w:p>
    <w:p w:rsidR="000A41A4" w:rsidRDefault="000A41A4" w:rsidP="000A41A4">
      <w:pPr>
        <w:jc w:val="center"/>
        <w:rPr>
          <w:rFonts w:ascii="Garamond" w:hAnsi="Garamond"/>
          <w:sz w:val="24"/>
          <w:szCs w:val="24"/>
        </w:rPr>
      </w:pPr>
      <w:r>
        <w:rPr>
          <w:noProof/>
          <w:lang w:eastAsia="en-GB"/>
        </w:rPr>
        <w:lastRenderedPageBreak/>
        <w:drawing>
          <wp:inline distT="0" distB="0" distL="0" distR="0">
            <wp:extent cx="3969834" cy="2356624"/>
            <wp:effectExtent l="0" t="0" r="12065" b="2476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A41A4" w:rsidRDefault="000A41A4" w:rsidP="000A41A4">
      <w:pPr>
        <w:jc w:val="both"/>
        <w:rPr>
          <w:rFonts w:ascii="Garamond" w:hAnsi="Garamond"/>
          <w:sz w:val="24"/>
          <w:szCs w:val="24"/>
        </w:rPr>
      </w:pPr>
      <w:r w:rsidRPr="008F07BC">
        <w:rPr>
          <w:rFonts w:ascii="Garamond" w:hAnsi="Garamond"/>
          <w:i/>
          <w:sz w:val="24"/>
          <w:szCs w:val="24"/>
        </w:rPr>
        <w:t>Immigrants are a strain on</w:t>
      </w:r>
      <w:r>
        <w:rPr>
          <w:rFonts w:ascii="Garamond" w:hAnsi="Garamond"/>
          <w:i/>
          <w:sz w:val="24"/>
          <w:szCs w:val="24"/>
        </w:rPr>
        <w:t xml:space="preserve"> / contribute to</w:t>
      </w:r>
      <w:r w:rsidRPr="008F07BC">
        <w:rPr>
          <w:rFonts w:ascii="Garamond" w:hAnsi="Garamond"/>
          <w:i/>
          <w:sz w:val="24"/>
          <w:szCs w:val="24"/>
        </w:rPr>
        <w:t xml:space="preserve"> our welfare system</w:t>
      </w:r>
      <w:r>
        <w:rPr>
          <w:rFonts w:ascii="Garamond" w:hAnsi="Garamond"/>
          <w:i/>
          <w:sz w:val="24"/>
          <w:szCs w:val="24"/>
        </w:rPr>
        <w:t>, total percentage</w:t>
      </w:r>
      <w:r w:rsidRPr="008F07BC">
        <w:rPr>
          <w:rFonts w:ascii="Garamond" w:hAnsi="Garamond"/>
          <w:i/>
          <w:sz w:val="24"/>
          <w:szCs w:val="24"/>
        </w:rPr>
        <w:t xml:space="preserve"> </w:t>
      </w:r>
      <w:r>
        <w:rPr>
          <w:rFonts w:ascii="Garamond" w:hAnsi="Garamond"/>
          <w:i/>
          <w:sz w:val="24"/>
          <w:szCs w:val="24"/>
        </w:rPr>
        <w:t>(</w:t>
      </w:r>
      <w:r w:rsidRPr="00F24896">
        <w:rPr>
          <w:rFonts w:ascii="Garamond" w:hAnsi="Garamond"/>
          <w:i/>
          <w:sz w:val="24"/>
          <w:szCs w:val="24"/>
        </w:rPr>
        <w:t xml:space="preserve">Source: European </w:t>
      </w:r>
      <w:r>
        <w:rPr>
          <w:rFonts w:ascii="Garamond" w:hAnsi="Garamond"/>
          <w:i/>
          <w:sz w:val="24"/>
          <w:szCs w:val="24"/>
        </w:rPr>
        <w:t>Q</w:t>
      </w:r>
      <w:r w:rsidRPr="00F24896">
        <w:rPr>
          <w:rFonts w:ascii="Garamond" w:hAnsi="Garamond"/>
          <w:i/>
          <w:sz w:val="24"/>
          <w:szCs w:val="24"/>
        </w:rPr>
        <w:t xml:space="preserve">uality of </w:t>
      </w:r>
      <w:r>
        <w:rPr>
          <w:rFonts w:ascii="Garamond" w:hAnsi="Garamond"/>
          <w:i/>
          <w:sz w:val="24"/>
          <w:szCs w:val="24"/>
        </w:rPr>
        <w:t>L</w:t>
      </w:r>
      <w:r w:rsidRPr="00F24896">
        <w:rPr>
          <w:rFonts w:ascii="Garamond" w:hAnsi="Garamond"/>
          <w:i/>
          <w:sz w:val="24"/>
          <w:szCs w:val="24"/>
        </w:rPr>
        <w:t xml:space="preserve">ife </w:t>
      </w:r>
      <w:r>
        <w:rPr>
          <w:rFonts w:ascii="Garamond" w:hAnsi="Garamond"/>
          <w:i/>
          <w:sz w:val="24"/>
          <w:szCs w:val="24"/>
        </w:rPr>
        <w:t>S</w:t>
      </w:r>
      <w:r w:rsidRPr="00F24896">
        <w:rPr>
          <w:rFonts w:ascii="Garamond" w:hAnsi="Garamond"/>
          <w:i/>
          <w:sz w:val="24"/>
          <w:szCs w:val="24"/>
        </w:rPr>
        <w:t>urvey 2011</w:t>
      </w:r>
      <w:r>
        <w:rPr>
          <w:rFonts w:ascii="Garamond" w:hAnsi="Garamond"/>
          <w:i/>
          <w:sz w:val="24"/>
          <w:szCs w:val="24"/>
        </w:rPr>
        <w:t>, question 27b)</w:t>
      </w:r>
    </w:p>
    <w:p w:rsidR="000A41A4" w:rsidRDefault="000A41A4" w:rsidP="000A41A4">
      <w:pPr>
        <w:jc w:val="both"/>
        <w:rPr>
          <w:rFonts w:ascii="Garamond" w:hAnsi="Garamond"/>
          <w:sz w:val="24"/>
          <w:szCs w:val="24"/>
        </w:rPr>
      </w:pPr>
      <w:r>
        <w:rPr>
          <w:rFonts w:ascii="Garamond" w:hAnsi="Garamond"/>
          <w:sz w:val="24"/>
          <w:szCs w:val="24"/>
        </w:rPr>
        <w:t xml:space="preserve">Additional data from the 2011 European Quality of Life Survey offer contrasting results on immigration across Europe. In Sweden, a majority of respondents believe that immigrants contribute to the welfare system (60.9 per cent), while in other countries, most respondents perceive them as a strain. Countries with the most ‘chauvinistic’ results are Greece (80.2 per cent), the United Kingdom (74.4 per cent) and France (68.2 per cent). </w:t>
      </w:r>
    </w:p>
    <w:p w:rsidR="000A41A4" w:rsidRDefault="000A41A4" w:rsidP="000A41A4">
      <w:pPr>
        <w:jc w:val="center"/>
        <w:rPr>
          <w:rFonts w:ascii="Garamond" w:hAnsi="Garamond"/>
          <w:sz w:val="24"/>
          <w:szCs w:val="24"/>
        </w:rPr>
      </w:pPr>
      <w:r>
        <w:rPr>
          <w:noProof/>
          <w:lang w:eastAsia="en-GB"/>
        </w:rPr>
        <w:drawing>
          <wp:inline distT="0" distB="0" distL="0" distR="0">
            <wp:extent cx="3605561" cy="2066693"/>
            <wp:effectExtent l="0" t="0" r="13970" b="1016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A41A4" w:rsidRPr="00377A7F" w:rsidRDefault="000A41A4" w:rsidP="000A41A4">
      <w:pPr>
        <w:jc w:val="both"/>
        <w:rPr>
          <w:rFonts w:ascii="Garamond" w:hAnsi="Garamond"/>
          <w:sz w:val="24"/>
          <w:szCs w:val="24"/>
        </w:rPr>
      </w:pPr>
      <w:r w:rsidRPr="008940F6">
        <w:rPr>
          <w:rFonts w:ascii="Garamond" w:hAnsi="Garamond"/>
          <w:i/>
          <w:sz w:val="24"/>
          <w:szCs w:val="24"/>
        </w:rPr>
        <w:t>Immigrants contribute more in taxes than they benefit from health and welfare services (Source: Eurobarometer 71.3, 2009)</w:t>
      </w:r>
    </w:p>
    <w:p w:rsidR="000A41A4" w:rsidRDefault="000A41A4" w:rsidP="000A41A4">
      <w:pPr>
        <w:jc w:val="center"/>
        <w:rPr>
          <w:rFonts w:ascii="Garamond" w:hAnsi="Garamond"/>
          <w:sz w:val="24"/>
          <w:szCs w:val="24"/>
        </w:rPr>
      </w:pPr>
      <w:r>
        <w:rPr>
          <w:noProof/>
          <w:lang w:eastAsia="en-GB"/>
        </w:rPr>
        <w:lastRenderedPageBreak/>
        <w:drawing>
          <wp:inline distT="0" distB="0" distL="0" distR="0">
            <wp:extent cx="3612995" cy="2245112"/>
            <wp:effectExtent l="0" t="0" r="26035" b="222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8381B" w:rsidRPr="00377A7F" w:rsidRDefault="000A41A4" w:rsidP="000A41A4">
      <w:pPr>
        <w:jc w:val="both"/>
        <w:rPr>
          <w:rFonts w:ascii="Garamond" w:hAnsi="Garamond"/>
          <w:i/>
          <w:sz w:val="24"/>
          <w:szCs w:val="24"/>
        </w:rPr>
      </w:pPr>
      <w:r w:rsidRPr="00377A7F">
        <w:rPr>
          <w:rFonts w:ascii="Garamond" w:hAnsi="Garamond"/>
          <w:i/>
          <w:sz w:val="24"/>
          <w:szCs w:val="24"/>
        </w:rPr>
        <w:t>The arrival of immigrants in Europe can be effective in solving the problem of Europe’s ageing population (Source: Eurobarometer 71.3, 2009)</w:t>
      </w:r>
    </w:p>
    <w:p w:rsidR="00753FBC" w:rsidRPr="00753FBC" w:rsidRDefault="00B8381B" w:rsidP="00753FBC">
      <w:pPr>
        <w:jc w:val="both"/>
        <w:rPr>
          <w:rFonts w:ascii="Garamond" w:hAnsi="Garamond"/>
          <w:sz w:val="24"/>
          <w:szCs w:val="24"/>
        </w:rPr>
      </w:pPr>
      <w:r>
        <w:rPr>
          <w:rFonts w:ascii="Garamond" w:hAnsi="Garamond"/>
          <w:sz w:val="24"/>
          <w:szCs w:val="24"/>
        </w:rPr>
        <w:t>F</w:t>
      </w:r>
      <w:r w:rsidR="000A41A4">
        <w:rPr>
          <w:rFonts w:ascii="Garamond" w:hAnsi="Garamond"/>
          <w:sz w:val="24"/>
          <w:szCs w:val="24"/>
        </w:rPr>
        <w:t>inally, a 2009 Eurobarometer survey on the future of Europe offers comparative insights with regards to immigration. Across Europe, most respondents disagreed with the fact that i</w:t>
      </w:r>
      <w:r w:rsidR="000A41A4" w:rsidRPr="00377A7F">
        <w:rPr>
          <w:rFonts w:ascii="Garamond" w:hAnsi="Garamond"/>
          <w:sz w:val="24"/>
          <w:szCs w:val="24"/>
        </w:rPr>
        <w:t>mmigrants contribute more in taxes than they benefit from health and welfare services</w:t>
      </w:r>
      <w:r w:rsidR="000A41A4">
        <w:rPr>
          <w:rFonts w:ascii="Garamond" w:hAnsi="Garamond"/>
          <w:sz w:val="24"/>
          <w:szCs w:val="24"/>
        </w:rPr>
        <w:t xml:space="preserve">. However, when asked whether immigration can solve the problem of Europe’s ageing, divergences appear from one country to the other: in Sweden and Denmark, respondents tended to agree with this statement (55 per cent and 48 per cent respectively), while countries disagreeing the most were Greece (67 per cent), the United Kingdom (55 per </w:t>
      </w:r>
      <w:r w:rsidR="000A41A4" w:rsidRPr="00FA517F">
        <w:rPr>
          <w:rFonts w:ascii="Garamond" w:hAnsi="Garamond"/>
          <w:sz w:val="24"/>
          <w:szCs w:val="24"/>
        </w:rPr>
        <w:t xml:space="preserve">cent), Slovenia (54 per cent) and Germany (52 per cent). Results were relatively balanced in France and Italy. </w:t>
      </w:r>
      <w:r w:rsidR="00C00D59" w:rsidRPr="00FA517F">
        <w:rPr>
          <w:rFonts w:ascii="Garamond" w:hAnsi="Garamond"/>
          <w:sz w:val="24"/>
          <w:szCs w:val="24"/>
        </w:rPr>
        <w:t>These findings are interesting in view of the relatively low replacement rates in Germany</w:t>
      </w:r>
      <w:r w:rsidR="00D64B77" w:rsidRPr="00FA517F">
        <w:rPr>
          <w:rFonts w:ascii="Garamond" w:hAnsi="Garamond"/>
          <w:sz w:val="24"/>
          <w:szCs w:val="24"/>
        </w:rPr>
        <w:t xml:space="preserve">, the </w:t>
      </w:r>
      <w:r w:rsidR="00D64B77" w:rsidRPr="00FA517F">
        <w:rPr>
          <w:rFonts w:ascii="Garamond" w:hAnsi="Garamond"/>
          <w:smallCaps/>
          <w:sz w:val="24"/>
          <w:szCs w:val="24"/>
        </w:rPr>
        <w:t xml:space="preserve">UK </w:t>
      </w:r>
      <w:r w:rsidR="00C00D59" w:rsidRPr="00FA517F">
        <w:rPr>
          <w:rFonts w:ascii="Garamond" w:hAnsi="Garamond"/>
          <w:sz w:val="24"/>
          <w:szCs w:val="24"/>
        </w:rPr>
        <w:t>and Greece</w:t>
      </w:r>
      <w:r w:rsidR="00D64B77" w:rsidRPr="00FA517F">
        <w:rPr>
          <w:rFonts w:ascii="Garamond" w:hAnsi="Garamond"/>
          <w:sz w:val="24"/>
          <w:szCs w:val="24"/>
        </w:rPr>
        <w:t>,</w:t>
      </w:r>
      <w:r w:rsidR="00C00D59" w:rsidRPr="00FA517F">
        <w:rPr>
          <w:rFonts w:ascii="Garamond" w:hAnsi="Garamond"/>
          <w:sz w:val="24"/>
          <w:szCs w:val="24"/>
        </w:rPr>
        <w:t xml:space="preserve"> which </w:t>
      </w:r>
      <w:r w:rsidR="00D64B77" w:rsidRPr="00FA517F">
        <w:rPr>
          <w:rFonts w:ascii="Garamond" w:hAnsi="Garamond"/>
          <w:sz w:val="24"/>
          <w:szCs w:val="24"/>
        </w:rPr>
        <w:t xml:space="preserve">are </w:t>
      </w:r>
      <w:r w:rsidR="00C00D59" w:rsidRPr="00FA517F">
        <w:rPr>
          <w:rFonts w:ascii="Garamond" w:hAnsi="Garamond"/>
          <w:sz w:val="24"/>
          <w:szCs w:val="24"/>
        </w:rPr>
        <w:t>likely to have a substantial impact on state spending in these countries during</w:t>
      </w:r>
      <w:r w:rsidR="00C00D59">
        <w:rPr>
          <w:rFonts w:ascii="Garamond" w:hAnsi="Garamond"/>
          <w:sz w:val="24"/>
          <w:szCs w:val="24"/>
        </w:rPr>
        <w:t xml:space="preserve"> the next half-century.</w:t>
      </w:r>
    </w:p>
    <w:p w:rsidR="00753FBC" w:rsidRDefault="00753FBC" w:rsidP="00753FBC">
      <w:pPr>
        <w:jc w:val="both"/>
        <w:rPr>
          <w:rFonts w:ascii="Garamond" w:hAnsi="Garamond"/>
          <w:i/>
          <w:sz w:val="24"/>
          <w:szCs w:val="24"/>
        </w:rPr>
      </w:pPr>
      <w:r>
        <w:rPr>
          <w:noProof/>
          <w:lang w:eastAsia="en-GB"/>
        </w:rPr>
        <w:drawing>
          <wp:inline distT="0" distB="0" distL="0" distR="0">
            <wp:extent cx="4667534" cy="2661314"/>
            <wp:effectExtent l="0" t="0" r="19050" b="24765"/>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53FBC" w:rsidRDefault="00753FBC" w:rsidP="00753FBC">
      <w:pPr>
        <w:jc w:val="both"/>
        <w:rPr>
          <w:rFonts w:ascii="Garamond" w:hAnsi="Garamond"/>
          <w:i/>
          <w:sz w:val="24"/>
          <w:szCs w:val="24"/>
        </w:rPr>
      </w:pPr>
      <w:r>
        <w:rPr>
          <w:rFonts w:ascii="Garamond" w:hAnsi="Garamond"/>
          <w:i/>
          <w:sz w:val="24"/>
          <w:szCs w:val="24"/>
        </w:rPr>
        <w:t>Projected Impact of Population Ageing on Welfare State Spending, selected countries (%, ECOFIN 2014)</w:t>
      </w:r>
    </w:p>
    <w:p w:rsidR="00753FBC" w:rsidRDefault="00753FBC" w:rsidP="00B8545A">
      <w:pPr>
        <w:jc w:val="both"/>
        <w:rPr>
          <w:rFonts w:ascii="Garamond" w:hAnsi="Garamond" w:cs="Times New Roman"/>
          <w:sz w:val="24"/>
          <w:szCs w:val="24"/>
        </w:rPr>
      </w:pPr>
    </w:p>
    <w:p w:rsidR="00753FBC" w:rsidRDefault="00753FBC" w:rsidP="00B8545A">
      <w:pPr>
        <w:jc w:val="both"/>
        <w:rPr>
          <w:rFonts w:ascii="Garamond" w:hAnsi="Garamond" w:cs="Times New Roman"/>
          <w:sz w:val="24"/>
          <w:szCs w:val="24"/>
        </w:rPr>
      </w:pPr>
    </w:p>
    <w:p w:rsidR="009A75B7" w:rsidRDefault="00DE2F2F" w:rsidP="00B8545A">
      <w:pPr>
        <w:jc w:val="both"/>
        <w:rPr>
          <w:rFonts w:ascii="Garamond" w:hAnsi="Garamond" w:cs="Times New Roman"/>
          <w:sz w:val="24"/>
          <w:szCs w:val="24"/>
        </w:rPr>
      </w:pPr>
      <w:r>
        <w:rPr>
          <w:rFonts w:ascii="Garamond" w:hAnsi="Garamond" w:cs="Times New Roman"/>
          <w:sz w:val="24"/>
          <w:szCs w:val="24"/>
        </w:rPr>
        <w:lastRenderedPageBreak/>
        <w:t xml:space="preserve">A survey conducted in Denmark and Norway by Bay </w:t>
      </w:r>
      <w:r w:rsidRPr="00DE2F2F">
        <w:rPr>
          <w:rFonts w:ascii="Garamond" w:hAnsi="Garamond" w:cs="Times New Roman"/>
          <w:i/>
          <w:sz w:val="24"/>
          <w:szCs w:val="24"/>
        </w:rPr>
        <w:t>et al.</w:t>
      </w:r>
      <w:r>
        <w:rPr>
          <w:rFonts w:ascii="Garamond" w:hAnsi="Garamond" w:cs="Times New Roman"/>
          <w:sz w:val="24"/>
          <w:szCs w:val="24"/>
        </w:rPr>
        <w:t xml:space="preserve"> (2013)</w:t>
      </w:r>
      <w:r w:rsidR="00B646F2">
        <w:rPr>
          <w:rStyle w:val="FootnoteReference"/>
          <w:rFonts w:ascii="Garamond" w:hAnsi="Garamond" w:cs="Times New Roman"/>
          <w:sz w:val="24"/>
          <w:szCs w:val="24"/>
        </w:rPr>
        <w:footnoteReference w:id="1"/>
      </w:r>
      <w:r>
        <w:rPr>
          <w:rFonts w:ascii="Garamond" w:hAnsi="Garamond" w:cs="Times New Roman"/>
          <w:sz w:val="24"/>
          <w:szCs w:val="24"/>
        </w:rPr>
        <w:t xml:space="preserve"> further demonstrates that welfare chauvinism </w:t>
      </w:r>
      <w:r w:rsidR="00E36A84">
        <w:rPr>
          <w:rFonts w:ascii="Garamond" w:hAnsi="Garamond" w:cs="Times New Roman"/>
          <w:sz w:val="24"/>
          <w:szCs w:val="24"/>
        </w:rPr>
        <w:t xml:space="preserve">is quite widespread in both countries, but </w:t>
      </w:r>
      <w:r w:rsidR="00F65F0C">
        <w:rPr>
          <w:rFonts w:ascii="Garamond" w:hAnsi="Garamond" w:cs="Times New Roman"/>
          <w:sz w:val="24"/>
          <w:szCs w:val="24"/>
        </w:rPr>
        <w:t>tends</w:t>
      </w:r>
      <w:r>
        <w:rPr>
          <w:rFonts w:ascii="Garamond" w:hAnsi="Garamond" w:cs="Times New Roman"/>
          <w:sz w:val="24"/>
          <w:szCs w:val="24"/>
        </w:rPr>
        <w:t xml:space="preserve"> to be more prevalent in the former than in the latter: </w:t>
      </w:r>
    </w:p>
    <w:p w:rsidR="00B50EF3" w:rsidRDefault="00B50EF3" w:rsidP="00B50EF3">
      <w:pPr>
        <w:spacing w:line="240" w:lineRule="auto"/>
        <w:ind w:left="567" w:right="567"/>
        <w:jc w:val="both"/>
        <w:rPr>
          <w:rFonts w:ascii="Garamond" w:hAnsi="Garamond" w:cs="Times New Roman"/>
          <w:sz w:val="24"/>
          <w:szCs w:val="24"/>
        </w:rPr>
      </w:pPr>
      <w:r w:rsidRPr="00B50EF3">
        <w:rPr>
          <w:rFonts w:ascii="Garamond" w:hAnsi="Garamond" w:cs="Times New Roman"/>
          <w:sz w:val="24"/>
          <w:szCs w:val="24"/>
        </w:rPr>
        <w:t>While 40 per cent of our Danish sample report to agree completely or partly with the idea of withholding social assistance from immigrants, 37 per cent of the Norwegian sample do the same; and a larger share of the Norwegian sample say they disagree partly or completely with this idea (42 per cent versus 35 per cent in Denmark). However, although these differences are statistically significant according to conventional criteria we must nevertheless conclude that there are not large aggregate differences in voter attitudes between the two countries (Bay et al. 2013:</w:t>
      </w:r>
      <w:r w:rsidR="00C27A9D">
        <w:rPr>
          <w:rFonts w:ascii="Garamond" w:hAnsi="Garamond" w:cs="Times New Roman"/>
          <w:sz w:val="24"/>
          <w:szCs w:val="24"/>
        </w:rPr>
        <w:t xml:space="preserve"> </w:t>
      </w:r>
      <w:r w:rsidRPr="00B50EF3">
        <w:rPr>
          <w:rFonts w:ascii="Garamond" w:hAnsi="Garamond" w:cs="Times New Roman"/>
          <w:sz w:val="24"/>
          <w:szCs w:val="24"/>
        </w:rPr>
        <w:t>206-207).</w:t>
      </w:r>
    </w:p>
    <w:p w:rsidR="00AF6A23" w:rsidRPr="00C4524A" w:rsidRDefault="00C4524A" w:rsidP="004864A3">
      <w:pPr>
        <w:jc w:val="both"/>
        <w:rPr>
          <w:rFonts w:ascii="Garamond" w:hAnsi="Garamond" w:cs="Times New Roman"/>
          <w:sz w:val="24"/>
          <w:szCs w:val="24"/>
        </w:rPr>
      </w:pPr>
      <w:r>
        <w:rPr>
          <w:rFonts w:ascii="Garamond" w:hAnsi="Garamond" w:cs="Times New Roman"/>
          <w:sz w:val="24"/>
          <w:szCs w:val="24"/>
        </w:rPr>
        <w:t xml:space="preserve">These indications of welfare chauvinism in Norway are somewhat tempered by a survey conducted by Norwegian Statistics in 2014, where 77 per cent of respondents agreed that most immigrants make a useful contribution to the Norwegian economy. </w:t>
      </w:r>
      <w:r w:rsidR="00895894">
        <w:rPr>
          <w:rFonts w:ascii="Garamond" w:hAnsi="Garamond" w:cs="Times New Roman"/>
          <w:sz w:val="24"/>
          <w:szCs w:val="24"/>
        </w:rPr>
        <w:t xml:space="preserve">However, </w:t>
      </w:r>
      <w:r w:rsidR="00930CF3">
        <w:rPr>
          <w:rFonts w:ascii="Garamond" w:hAnsi="Garamond" w:cs="Times New Roman"/>
          <w:sz w:val="24"/>
          <w:szCs w:val="24"/>
        </w:rPr>
        <w:t xml:space="preserve">28 per cent of respondents believe that immigrants are a source of insecurity in society (see </w:t>
      </w:r>
      <w:r w:rsidR="00930CF3">
        <w:rPr>
          <w:rFonts w:ascii="Garamond" w:hAnsi="Garamond"/>
          <w:sz w:val="24"/>
          <w:szCs w:val="24"/>
        </w:rPr>
        <w:t>Sørvoll, background paper, pp. 35-37)</w:t>
      </w:r>
    </w:p>
    <w:p w:rsidR="0058485E" w:rsidRDefault="0052191E" w:rsidP="0058485E">
      <w:pPr>
        <w:jc w:val="both"/>
        <w:rPr>
          <w:rFonts w:ascii="Garamond" w:hAnsi="Garamond"/>
          <w:sz w:val="24"/>
        </w:rPr>
      </w:pPr>
      <w:r>
        <w:rPr>
          <w:rFonts w:ascii="Garamond" w:hAnsi="Garamond"/>
          <w:sz w:val="24"/>
        </w:rPr>
        <w:t xml:space="preserve">In Germany, national surveys demonstrate that a non-negligible proportion of the population display welfare chauvinist attitudes; yet, this </w:t>
      </w:r>
      <w:r w:rsidR="004407F0">
        <w:rPr>
          <w:rFonts w:ascii="Garamond" w:hAnsi="Garamond"/>
          <w:sz w:val="24"/>
        </w:rPr>
        <w:t>proportion</w:t>
      </w:r>
      <w:r>
        <w:rPr>
          <w:rFonts w:ascii="Garamond" w:hAnsi="Garamond"/>
          <w:sz w:val="24"/>
        </w:rPr>
        <w:t xml:space="preserve"> does not appear to drastically expand over time (see Heuer and Mau draft chapter, pp. 20-21).  </w:t>
      </w:r>
    </w:p>
    <w:p w:rsidR="004210CF" w:rsidRDefault="004210CF" w:rsidP="0058485E">
      <w:pPr>
        <w:jc w:val="both"/>
        <w:rPr>
          <w:rFonts w:ascii="Garamond" w:hAnsi="Garamond"/>
          <w:sz w:val="24"/>
        </w:rPr>
      </w:pPr>
    </w:p>
    <w:p w:rsidR="004210CF" w:rsidRDefault="004210CF" w:rsidP="004210CF">
      <w:pPr>
        <w:jc w:val="both"/>
        <w:rPr>
          <w:rFonts w:ascii="Garamond" w:hAnsi="Garamond" w:cs="Times New Roman"/>
          <w:i/>
          <w:sz w:val="28"/>
          <w:szCs w:val="24"/>
          <w:u w:val="single"/>
        </w:rPr>
      </w:pPr>
      <w:r w:rsidRPr="000855C7">
        <w:rPr>
          <w:rFonts w:ascii="Garamond" w:hAnsi="Garamond" w:cs="Times New Roman"/>
          <w:i/>
          <w:sz w:val="28"/>
          <w:szCs w:val="24"/>
          <w:u w:val="single"/>
        </w:rPr>
        <w:t>Attitudes towards inequality</w:t>
      </w:r>
    </w:p>
    <w:p w:rsidR="002A2973" w:rsidRPr="00C95B3C" w:rsidRDefault="002A2973" w:rsidP="004210CF">
      <w:pPr>
        <w:jc w:val="both"/>
        <w:rPr>
          <w:rFonts w:ascii="Garamond" w:hAnsi="Garamond" w:cs="Times New Roman"/>
          <w:sz w:val="28"/>
          <w:szCs w:val="24"/>
          <w:u w:val="single"/>
        </w:rPr>
      </w:pPr>
      <w:r>
        <w:rPr>
          <w:rFonts w:ascii="Garamond" w:hAnsi="Garamond" w:cs="Times New Roman"/>
          <w:sz w:val="28"/>
          <w:szCs w:val="24"/>
          <w:u w:val="single"/>
        </w:rPr>
        <w:t>Income inequalities generally grew larger across in EU countries during recent years with Greece, Spain, Italy and the UK showing the greatest inequalities and Slovenia and Scandinavian countries the least, although inequality increased in Denmark during the period. National statistics indicate the fall in the UK from 2011 has now been made up.</w:t>
      </w:r>
    </w:p>
    <w:p w:rsidR="003A50C3" w:rsidRDefault="003A50C3" w:rsidP="004210CF">
      <w:pPr>
        <w:jc w:val="both"/>
        <w:rPr>
          <w:rFonts w:ascii="Garamond" w:hAnsi="Garamond" w:cs="Times New Roman"/>
          <w:i/>
          <w:sz w:val="28"/>
          <w:szCs w:val="24"/>
          <w:u w:val="single"/>
        </w:rPr>
      </w:pPr>
    </w:p>
    <w:p w:rsidR="003A50C3" w:rsidRDefault="003A50C3" w:rsidP="004210CF">
      <w:pPr>
        <w:jc w:val="both"/>
        <w:rPr>
          <w:rFonts w:ascii="Garamond" w:hAnsi="Garamond" w:cs="Times New Roman"/>
          <w:sz w:val="28"/>
          <w:szCs w:val="24"/>
        </w:rPr>
      </w:pPr>
      <w:r w:rsidRPr="003A50C3">
        <w:rPr>
          <w:rFonts w:ascii="Garamond" w:hAnsi="Garamond" w:cs="Times New Roman"/>
          <w:noProof/>
          <w:sz w:val="28"/>
          <w:szCs w:val="24"/>
          <w:lang w:eastAsia="en-GB"/>
        </w:rPr>
        <w:lastRenderedPageBreak/>
        <w:drawing>
          <wp:inline distT="0" distB="0" distL="0" distR="0" wp14:anchorId="4E0B2C0B" wp14:editId="1DA589B3">
            <wp:extent cx="4572000" cy="2743200"/>
            <wp:effectExtent l="19050" t="0" r="19050" b="0"/>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F7F2F" w:rsidRPr="00C95B3C" w:rsidRDefault="003A50C3" w:rsidP="004210CF">
      <w:pPr>
        <w:jc w:val="both"/>
        <w:rPr>
          <w:rFonts w:ascii="Garamond" w:hAnsi="Garamond" w:cs="Times New Roman"/>
          <w:i/>
          <w:sz w:val="28"/>
          <w:szCs w:val="24"/>
        </w:rPr>
      </w:pPr>
      <w:r>
        <w:rPr>
          <w:rFonts w:ascii="Garamond" w:hAnsi="Garamond" w:cs="Times New Roman"/>
          <w:i/>
          <w:sz w:val="28"/>
          <w:szCs w:val="24"/>
        </w:rPr>
        <w:t>Inequality in</w:t>
      </w:r>
      <w:r w:rsidRPr="00C95B3C">
        <w:rPr>
          <w:rFonts w:ascii="Garamond" w:hAnsi="Garamond" w:cs="Times New Roman"/>
          <w:i/>
          <w:sz w:val="28"/>
          <w:szCs w:val="24"/>
        </w:rPr>
        <w:t xml:space="preserve"> selected countries, 2005-2013 (</w:t>
      </w:r>
      <w:r>
        <w:rPr>
          <w:rFonts w:ascii="Garamond" w:hAnsi="Garamond" w:cs="Times New Roman"/>
          <w:i/>
          <w:sz w:val="28"/>
          <w:szCs w:val="24"/>
        </w:rPr>
        <w:t xml:space="preserve">Gini coefficients: </w:t>
      </w:r>
      <w:r w:rsidRPr="00C95B3C">
        <w:rPr>
          <w:rFonts w:ascii="Garamond" w:hAnsi="Garamond" w:cs="Times New Roman"/>
          <w:i/>
          <w:sz w:val="28"/>
          <w:szCs w:val="24"/>
        </w:rPr>
        <w:t>Eurostat database</w:t>
      </w:r>
      <w:r>
        <w:rPr>
          <w:rFonts w:ascii="Garamond" w:hAnsi="Garamond" w:cs="Times New Roman"/>
          <w:i/>
          <w:sz w:val="28"/>
          <w:szCs w:val="24"/>
        </w:rPr>
        <w:t>: LH scale truncated</w:t>
      </w:r>
      <w:r w:rsidRPr="00C95B3C">
        <w:rPr>
          <w:rFonts w:ascii="Garamond" w:hAnsi="Garamond" w:cs="Times New Roman"/>
          <w:i/>
          <w:sz w:val="28"/>
          <w:szCs w:val="24"/>
        </w:rPr>
        <w:t>)</w:t>
      </w:r>
    </w:p>
    <w:p w:rsidR="004210CF" w:rsidRPr="000F3E42" w:rsidRDefault="004210CF" w:rsidP="004210CF">
      <w:pPr>
        <w:jc w:val="both"/>
        <w:rPr>
          <w:rFonts w:ascii="Garamond" w:hAnsi="Garamond" w:cs="Times New Roman"/>
          <w:sz w:val="24"/>
          <w:szCs w:val="24"/>
        </w:rPr>
      </w:pPr>
      <w:r>
        <w:rPr>
          <w:rFonts w:ascii="Garamond" w:hAnsi="Garamond" w:cs="Times New Roman"/>
          <w:sz w:val="24"/>
          <w:szCs w:val="24"/>
        </w:rPr>
        <w:t>Several questions included in the ESS 2008 survey</w:t>
      </w:r>
      <w:r w:rsidR="00332613">
        <w:rPr>
          <w:rStyle w:val="FootnoteReference"/>
          <w:rFonts w:ascii="Garamond" w:hAnsi="Garamond" w:cs="Times New Roman"/>
          <w:sz w:val="24"/>
          <w:szCs w:val="24"/>
        </w:rPr>
        <w:footnoteReference w:id="2"/>
      </w:r>
      <w:r>
        <w:rPr>
          <w:rFonts w:ascii="Garamond" w:hAnsi="Garamond" w:cs="Times New Roman"/>
          <w:sz w:val="24"/>
          <w:szCs w:val="24"/>
        </w:rPr>
        <w:t xml:space="preserve"> aim to assess public attitudes towards income inequalities. In a majority of countries, respondents believe that large differences in income are acceptable to reward talents and efforts. In Slovenia however, results are much more ambivalent </w:t>
      </w:r>
      <w:r w:rsidR="002A2973">
        <w:rPr>
          <w:rFonts w:ascii="Garamond" w:hAnsi="Garamond" w:cs="Times New Roman"/>
          <w:sz w:val="24"/>
          <w:szCs w:val="24"/>
        </w:rPr>
        <w:t xml:space="preserve">reflecting the lower level of inequality in the country </w:t>
      </w:r>
      <w:r>
        <w:rPr>
          <w:rFonts w:ascii="Garamond" w:hAnsi="Garamond" w:cs="Times New Roman"/>
          <w:sz w:val="24"/>
          <w:szCs w:val="24"/>
        </w:rPr>
        <w:t>(36.5 per cent agree, 40.1 per cent disagree).</w:t>
      </w:r>
    </w:p>
    <w:p w:rsidR="004210CF" w:rsidRDefault="004210CF" w:rsidP="00AA53E9">
      <w:pPr>
        <w:keepNext/>
        <w:jc w:val="both"/>
        <w:rPr>
          <w:rFonts w:ascii="Garamond" w:hAnsi="Garamond" w:cs="Times New Roman"/>
          <w:sz w:val="24"/>
          <w:szCs w:val="24"/>
        </w:rPr>
      </w:pPr>
      <w:r w:rsidRPr="00455B26">
        <w:rPr>
          <w:rFonts w:ascii="Garamond" w:hAnsi="Garamond" w:cs="Times New Roman"/>
          <w:i/>
          <w:sz w:val="24"/>
          <w:szCs w:val="24"/>
        </w:rPr>
        <w:t>Large differences in income acceptable to reward talents and efforts</w:t>
      </w:r>
    </w:p>
    <w:p w:rsidR="004210CF" w:rsidRDefault="004210CF" w:rsidP="00AA53E9">
      <w:pPr>
        <w:keepNext/>
        <w:jc w:val="both"/>
        <w:rPr>
          <w:rFonts w:ascii="Garamond" w:hAnsi="Garamond" w:cs="Times New Roman"/>
          <w:sz w:val="24"/>
          <w:szCs w:val="24"/>
        </w:rPr>
      </w:pPr>
      <w:r>
        <w:rPr>
          <w:noProof/>
          <w:lang w:eastAsia="en-GB"/>
        </w:rPr>
        <w:drawing>
          <wp:inline distT="0" distB="0" distL="0" distR="0">
            <wp:extent cx="4572000" cy="2743200"/>
            <wp:effectExtent l="0" t="0" r="19050" b="1905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210CF" w:rsidRDefault="00C00D59" w:rsidP="004210CF">
      <w:pPr>
        <w:jc w:val="both"/>
        <w:rPr>
          <w:rFonts w:ascii="Garamond" w:hAnsi="Garamond" w:cs="Times New Roman"/>
          <w:sz w:val="24"/>
          <w:szCs w:val="24"/>
        </w:rPr>
      </w:pPr>
      <w:r>
        <w:rPr>
          <w:rFonts w:ascii="Garamond" w:hAnsi="Garamond" w:cs="Times New Roman"/>
          <w:sz w:val="24"/>
          <w:szCs w:val="24"/>
        </w:rPr>
        <w:t>However</w:t>
      </w:r>
      <w:r w:rsidR="004210CF">
        <w:rPr>
          <w:rFonts w:ascii="Garamond" w:hAnsi="Garamond" w:cs="Times New Roman"/>
          <w:sz w:val="24"/>
          <w:szCs w:val="24"/>
        </w:rPr>
        <w:t>, in all countries, a broad majority of respondents believe that their government should reduce such income inequalities.</w:t>
      </w:r>
      <w:r w:rsidR="00AA53E9">
        <w:rPr>
          <w:rFonts w:ascii="Garamond" w:hAnsi="Garamond" w:cs="Times New Roman"/>
          <w:sz w:val="24"/>
          <w:szCs w:val="24"/>
        </w:rPr>
        <w:t xml:space="preserve"> The Slovenian results (86.6 per cent) are also confirmed by the national surveys (see Slovenian background paper, p. 7).</w:t>
      </w:r>
      <w:r w:rsidR="004F7CEA">
        <w:rPr>
          <w:rFonts w:ascii="Garamond" w:hAnsi="Garamond" w:cs="Times New Roman"/>
          <w:sz w:val="24"/>
          <w:szCs w:val="24"/>
        </w:rPr>
        <w:t xml:space="preserve"> In Denmark, however, responses are more ambivalent, as 41.6 per cent of respondents agree, while 36 per cent disagree. These results </w:t>
      </w:r>
      <w:r w:rsidR="004F7CEA">
        <w:rPr>
          <w:rFonts w:ascii="Garamond" w:hAnsi="Garamond" w:cs="Times New Roman"/>
          <w:sz w:val="24"/>
          <w:szCs w:val="24"/>
        </w:rPr>
        <w:lastRenderedPageBreak/>
        <w:t xml:space="preserve">are confirmed by national election surveys; in addition, the Danish research team notes that “despite the enormous decline in class-based voting, the class differences in attitudes towards inequality have remained almost the same throughout the 40-year period” (see Danish background paper, pp. 17-18). </w:t>
      </w:r>
    </w:p>
    <w:p w:rsidR="004210CF" w:rsidRDefault="004210CF" w:rsidP="004210CF">
      <w:pPr>
        <w:jc w:val="both"/>
        <w:rPr>
          <w:rFonts w:ascii="Garamond" w:hAnsi="Garamond" w:cs="Times New Roman"/>
          <w:i/>
          <w:sz w:val="24"/>
          <w:szCs w:val="24"/>
        </w:rPr>
      </w:pPr>
      <w:r w:rsidRPr="00455B26">
        <w:rPr>
          <w:rFonts w:ascii="Garamond" w:hAnsi="Garamond" w:cs="Times New Roman"/>
          <w:i/>
          <w:sz w:val="24"/>
          <w:szCs w:val="24"/>
        </w:rPr>
        <w:t>Government should reduce differences in income levels</w:t>
      </w:r>
    </w:p>
    <w:p w:rsidR="004210CF" w:rsidRDefault="004210CF" w:rsidP="004210CF">
      <w:pPr>
        <w:jc w:val="both"/>
        <w:rPr>
          <w:rFonts w:ascii="Garamond" w:hAnsi="Garamond" w:cs="Times New Roman"/>
          <w:i/>
          <w:sz w:val="24"/>
          <w:szCs w:val="24"/>
        </w:rPr>
      </w:pPr>
      <w:r>
        <w:rPr>
          <w:noProof/>
          <w:lang w:eastAsia="en-GB"/>
        </w:rPr>
        <w:drawing>
          <wp:inline distT="0" distB="0" distL="0" distR="0">
            <wp:extent cx="4572000" cy="2743200"/>
            <wp:effectExtent l="0" t="0" r="19050" b="1905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210CF" w:rsidRPr="005915F0" w:rsidRDefault="004210CF" w:rsidP="00AA53E9">
      <w:pPr>
        <w:keepNext/>
        <w:jc w:val="both"/>
        <w:rPr>
          <w:rFonts w:ascii="Garamond" w:hAnsi="Garamond" w:cs="Times New Roman"/>
          <w:i/>
          <w:sz w:val="24"/>
          <w:szCs w:val="24"/>
        </w:rPr>
      </w:pPr>
      <w:r w:rsidRPr="005915F0">
        <w:rPr>
          <w:rFonts w:ascii="Garamond" w:hAnsi="Garamond" w:cs="Times New Roman"/>
          <w:i/>
          <w:sz w:val="24"/>
          <w:szCs w:val="24"/>
        </w:rPr>
        <w:t>Differences in income are too large</w:t>
      </w:r>
    </w:p>
    <w:p w:rsidR="004210CF" w:rsidRDefault="004210CF" w:rsidP="00AA53E9">
      <w:pPr>
        <w:keepNext/>
        <w:jc w:val="both"/>
        <w:rPr>
          <w:rFonts w:ascii="Garamond" w:hAnsi="Garamond" w:cs="Times New Roman"/>
          <w:sz w:val="24"/>
          <w:szCs w:val="24"/>
        </w:rPr>
      </w:pPr>
      <w:r>
        <w:rPr>
          <w:noProof/>
          <w:lang w:eastAsia="en-GB"/>
        </w:rPr>
        <w:drawing>
          <wp:inline distT="0" distB="0" distL="0" distR="0">
            <wp:extent cx="4973444" cy="2787805"/>
            <wp:effectExtent l="0" t="0" r="17780" b="1270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210CF" w:rsidRDefault="004210CF" w:rsidP="004210CF">
      <w:pPr>
        <w:jc w:val="both"/>
        <w:rPr>
          <w:rFonts w:ascii="Garamond" w:hAnsi="Garamond" w:cs="Times New Roman"/>
          <w:i/>
          <w:sz w:val="24"/>
          <w:szCs w:val="24"/>
        </w:rPr>
      </w:pPr>
      <w:r>
        <w:rPr>
          <w:rFonts w:ascii="Garamond" w:hAnsi="Garamond" w:cs="Times New Roman"/>
          <w:i/>
          <w:sz w:val="24"/>
          <w:szCs w:val="24"/>
        </w:rPr>
        <w:t>For a fair society, differences in standard of living should be small</w:t>
      </w:r>
    </w:p>
    <w:p w:rsidR="004210CF" w:rsidRPr="00DB5220" w:rsidRDefault="004210CF" w:rsidP="004210CF">
      <w:pPr>
        <w:jc w:val="both"/>
        <w:rPr>
          <w:rFonts w:ascii="Garamond" w:hAnsi="Garamond" w:cs="Times New Roman"/>
          <w:sz w:val="24"/>
          <w:szCs w:val="24"/>
        </w:rPr>
      </w:pPr>
      <w:r>
        <w:rPr>
          <w:rFonts w:ascii="Garamond" w:hAnsi="Garamond" w:cs="Times New Roman"/>
          <w:sz w:val="24"/>
          <w:szCs w:val="24"/>
        </w:rPr>
        <w:t xml:space="preserve">Except in the case of Denmark, where 45.3 per cent of respondents disagree, a majority of respondents across Europe believe that for a fair society, differences in standard of living should be small. Data from Denmark is particularly interesting, especially since most Norwegians (56 per cent) and Swedes (56.7 per cent) agreed with this statement. </w:t>
      </w:r>
    </w:p>
    <w:p w:rsidR="004210CF" w:rsidRDefault="004210CF" w:rsidP="004210CF">
      <w:pPr>
        <w:jc w:val="both"/>
        <w:rPr>
          <w:rFonts w:ascii="Garamond" w:hAnsi="Garamond" w:cs="Times New Roman"/>
          <w:sz w:val="24"/>
          <w:szCs w:val="24"/>
        </w:rPr>
      </w:pPr>
      <w:r>
        <w:rPr>
          <w:noProof/>
          <w:lang w:eastAsia="en-GB"/>
        </w:rPr>
        <w:lastRenderedPageBreak/>
        <w:drawing>
          <wp:inline distT="0" distB="0" distL="0" distR="0">
            <wp:extent cx="4572000" cy="2743200"/>
            <wp:effectExtent l="0" t="0" r="19050" b="1905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607C7" w:rsidRDefault="006607C7" w:rsidP="004210CF">
      <w:pPr>
        <w:jc w:val="both"/>
        <w:rPr>
          <w:rFonts w:ascii="Garamond" w:hAnsi="Garamond" w:cs="Times New Roman"/>
          <w:sz w:val="24"/>
          <w:szCs w:val="24"/>
        </w:rPr>
      </w:pPr>
    </w:p>
    <w:p w:rsidR="006607C7" w:rsidRDefault="006607C7" w:rsidP="004210CF">
      <w:pPr>
        <w:jc w:val="both"/>
        <w:rPr>
          <w:rFonts w:ascii="Garamond" w:hAnsi="Garamond" w:cs="Times New Roman"/>
          <w:sz w:val="24"/>
          <w:szCs w:val="24"/>
        </w:rPr>
      </w:pPr>
      <w:r>
        <w:rPr>
          <w:rFonts w:ascii="Garamond" w:hAnsi="Garamond" w:cs="Times New Roman"/>
          <w:sz w:val="24"/>
          <w:szCs w:val="24"/>
        </w:rPr>
        <w:t xml:space="preserve">The next chart shows that, in most of the countries included, the proportion supporting a proportional tax system, with everyone paying the same share of income in tax, are roughly equal to the proportion endorsing a more progressive system, with high earners paying relatively more. In Slovenia </w:t>
      </w:r>
      <w:r w:rsidR="00F475DF">
        <w:rPr>
          <w:rFonts w:ascii="Garamond" w:hAnsi="Garamond" w:cs="Times New Roman"/>
          <w:sz w:val="24"/>
          <w:szCs w:val="24"/>
        </w:rPr>
        <w:t xml:space="preserve">and in Denmark </w:t>
      </w:r>
      <w:r>
        <w:rPr>
          <w:rFonts w:ascii="Garamond" w:hAnsi="Garamond" w:cs="Times New Roman"/>
          <w:sz w:val="24"/>
          <w:szCs w:val="24"/>
        </w:rPr>
        <w:t>the group supporting the progressive approach is relatively larger, while in France, the largest group supports proportional tax.</w:t>
      </w:r>
    </w:p>
    <w:p w:rsidR="004210CF" w:rsidRDefault="004210CF" w:rsidP="007B2180">
      <w:pPr>
        <w:keepNext/>
        <w:jc w:val="both"/>
        <w:rPr>
          <w:rFonts w:ascii="Garamond" w:hAnsi="Garamond" w:cs="Times New Roman"/>
          <w:sz w:val="24"/>
          <w:szCs w:val="24"/>
        </w:rPr>
      </w:pPr>
      <w:r w:rsidRPr="00575A54">
        <w:rPr>
          <w:rFonts w:ascii="Garamond" w:hAnsi="Garamond" w:cs="Times New Roman"/>
          <w:i/>
          <w:sz w:val="24"/>
          <w:szCs w:val="24"/>
        </w:rPr>
        <w:t>Taxation for higher versus lower earners</w:t>
      </w:r>
    </w:p>
    <w:p w:rsidR="004210CF" w:rsidRPr="005D704B" w:rsidRDefault="004210CF" w:rsidP="005D704B">
      <w:pPr>
        <w:keepNext/>
        <w:jc w:val="both"/>
        <w:rPr>
          <w:rFonts w:ascii="Garamond" w:hAnsi="Garamond" w:cs="Times New Roman"/>
          <w:sz w:val="24"/>
          <w:szCs w:val="24"/>
        </w:rPr>
      </w:pPr>
      <w:r>
        <w:rPr>
          <w:noProof/>
          <w:lang w:eastAsia="en-GB"/>
        </w:rPr>
        <w:drawing>
          <wp:inline distT="0" distB="0" distL="0" distR="0">
            <wp:extent cx="5070088" cy="2951356"/>
            <wp:effectExtent l="0" t="0" r="16510" b="2095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F475DF" w:rsidRDefault="00F475DF" w:rsidP="0058485E">
      <w:pPr>
        <w:jc w:val="both"/>
        <w:rPr>
          <w:rFonts w:ascii="Garamond" w:hAnsi="Garamond"/>
          <w:i/>
          <w:sz w:val="28"/>
          <w:u w:val="single"/>
        </w:rPr>
      </w:pPr>
      <w:r>
        <w:rPr>
          <w:rFonts w:ascii="Garamond" w:hAnsi="Garamond"/>
          <w:sz w:val="28"/>
          <w:u w:val="single"/>
        </w:rPr>
        <w:t xml:space="preserve">Taken together, these findings indicate support for a generally more egalitarian role for the state in Slovenia (perhaps related to the historical legacy and to </w:t>
      </w:r>
      <w:r w:rsidR="002A2973">
        <w:rPr>
          <w:rFonts w:ascii="Garamond" w:hAnsi="Garamond"/>
          <w:sz w:val="28"/>
          <w:u w:val="single"/>
        </w:rPr>
        <w:t>lower</w:t>
      </w:r>
      <w:r>
        <w:rPr>
          <w:rFonts w:ascii="Garamond" w:hAnsi="Garamond"/>
          <w:sz w:val="28"/>
          <w:u w:val="single"/>
        </w:rPr>
        <w:t xml:space="preserve"> inequality) and cast an interesting light on Denmark as an outlying member of the Scandinavian group. In other countries the largest group in the population supports </w:t>
      </w:r>
      <w:r>
        <w:rPr>
          <w:rFonts w:ascii="Garamond" w:hAnsi="Garamond"/>
          <w:sz w:val="28"/>
          <w:u w:val="single"/>
        </w:rPr>
        <w:lastRenderedPageBreak/>
        <w:t>some state-led redistribution to produce greater equality, but sees an important role for incentives.</w:t>
      </w:r>
    </w:p>
    <w:p w:rsidR="00AE1807" w:rsidRPr="00AE1807" w:rsidRDefault="00AE1807" w:rsidP="0058485E">
      <w:pPr>
        <w:jc w:val="both"/>
        <w:rPr>
          <w:rFonts w:ascii="Garamond" w:hAnsi="Garamond"/>
          <w:i/>
          <w:sz w:val="28"/>
          <w:u w:val="single"/>
        </w:rPr>
      </w:pPr>
      <w:r w:rsidRPr="00AE1807">
        <w:rPr>
          <w:rFonts w:ascii="Garamond" w:hAnsi="Garamond"/>
          <w:i/>
          <w:sz w:val="28"/>
          <w:u w:val="single"/>
        </w:rPr>
        <w:t>Attitudes towards Gender</w:t>
      </w:r>
    </w:p>
    <w:p w:rsidR="00E210F0" w:rsidRDefault="00E210F0" w:rsidP="00F26BC8">
      <w:pPr>
        <w:jc w:val="both"/>
        <w:rPr>
          <w:rFonts w:ascii="Garamond" w:hAnsi="Garamond"/>
          <w:sz w:val="24"/>
        </w:rPr>
      </w:pPr>
      <w:r w:rsidRPr="00E210F0">
        <w:rPr>
          <w:rFonts w:ascii="Garamond" w:hAnsi="Garamond"/>
          <w:noProof/>
          <w:sz w:val="24"/>
          <w:lang w:eastAsia="en-GB"/>
        </w:rPr>
        <w:drawing>
          <wp:inline distT="0" distB="0" distL="0" distR="0" wp14:anchorId="56EECC6C" wp14:editId="2225206E">
            <wp:extent cx="4572000" cy="2743200"/>
            <wp:effectExtent l="19050" t="0" r="19050" b="0"/>
            <wp:docPr id="2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210F0" w:rsidRPr="00C95B3C" w:rsidRDefault="00E210F0" w:rsidP="00F26BC8">
      <w:pPr>
        <w:jc w:val="both"/>
        <w:rPr>
          <w:rFonts w:ascii="Garamond" w:hAnsi="Garamond"/>
          <w:i/>
          <w:sz w:val="24"/>
        </w:rPr>
      </w:pPr>
      <w:r>
        <w:rPr>
          <w:rFonts w:ascii="Garamond" w:hAnsi="Garamond"/>
          <w:i/>
          <w:sz w:val="24"/>
        </w:rPr>
        <w:t>Gender employment gap, 2014 (Eurostat, LFS)</w:t>
      </w:r>
    </w:p>
    <w:p w:rsidR="00E210F0" w:rsidRDefault="00E210F0" w:rsidP="00F26BC8">
      <w:pPr>
        <w:jc w:val="both"/>
        <w:rPr>
          <w:rFonts w:ascii="Garamond" w:hAnsi="Garamond"/>
          <w:sz w:val="24"/>
        </w:rPr>
      </w:pPr>
    </w:p>
    <w:p w:rsidR="00E210F0" w:rsidRDefault="00E210F0" w:rsidP="00F26BC8">
      <w:pPr>
        <w:jc w:val="both"/>
        <w:rPr>
          <w:rFonts w:ascii="Garamond" w:hAnsi="Garamond"/>
          <w:sz w:val="24"/>
        </w:rPr>
      </w:pPr>
      <w:r>
        <w:rPr>
          <w:rFonts w:ascii="Garamond" w:hAnsi="Garamond"/>
          <w:sz w:val="24"/>
        </w:rPr>
        <w:t>The largest gaps between employment rates for men and women are in Greece and Italy with the UK at the EU average and other countries, particularly Scandinavian countries with the closest approach to gender equality in employment.</w:t>
      </w:r>
    </w:p>
    <w:p w:rsidR="00E210F0" w:rsidRDefault="00E210F0" w:rsidP="00F26BC8">
      <w:pPr>
        <w:jc w:val="both"/>
        <w:rPr>
          <w:rFonts w:ascii="Garamond" w:hAnsi="Garamond"/>
          <w:sz w:val="24"/>
        </w:rPr>
      </w:pPr>
    </w:p>
    <w:p w:rsidR="00AE1807" w:rsidRDefault="00AE1807" w:rsidP="00F26BC8">
      <w:pPr>
        <w:jc w:val="both"/>
        <w:rPr>
          <w:rFonts w:ascii="Garamond" w:hAnsi="Garamond"/>
          <w:sz w:val="24"/>
        </w:rPr>
      </w:pPr>
      <w:r>
        <w:rPr>
          <w:rFonts w:ascii="Garamond" w:hAnsi="Garamond"/>
          <w:sz w:val="24"/>
        </w:rPr>
        <w:t xml:space="preserve">In this particular context, attitudes towards gender have to be understood in a broad context, to </w:t>
      </w:r>
      <w:r w:rsidRPr="00AE1807">
        <w:rPr>
          <w:rFonts w:ascii="Garamond" w:hAnsi="Garamond"/>
          <w:sz w:val="24"/>
        </w:rPr>
        <w:t>include issues of family life and of the gender division of work</w:t>
      </w:r>
      <w:r>
        <w:rPr>
          <w:rFonts w:ascii="Garamond" w:hAnsi="Garamond"/>
          <w:sz w:val="24"/>
        </w:rPr>
        <w:t>.</w:t>
      </w:r>
      <w:r w:rsidR="00E210F0">
        <w:rPr>
          <w:rFonts w:ascii="Garamond" w:hAnsi="Garamond"/>
          <w:sz w:val="24"/>
        </w:rPr>
        <w:t xml:space="preserve"> </w:t>
      </w:r>
      <w:r>
        <w:rPr>
          <w:rFonts w:ascii="Garamond" w:hAnsi="Garamond"/>
          <w:sz w:val="24"/>
        </w:rPr>
        <w:t>In Germany, attitudes towards female labour market participation have drastically evolved over time, moving from a ‘male breadwinner / female homemaker’ model to an ‘adult worker / dual breadwinner’ model (see Heuer and Mau, draft chapter, pp. 14-15).</w:t>
      </w:r>
      <w:r w:rsidR="00E210F0">
        <w:rPr>
          <w:rFonts w:ascii="Garamond" w:hAnsi="Garamond"/>
          <w:sz w:val="24"/>
        </w:rPr>
        <w:t xml:space="preserve"> In Scandinavian countries the dual breadwinner model has been well-established and least so in the Mediterranean countries.</w:t>
      </w:r>
    </w:p>
    <w:p w:rsidR="005378BC" w:rsidRDefault="005378BC" w:rsidP="00F26BC8">
      <w:pPr>
        <w:jc w:val="both"/>
        <w:rPr>
          <w:rFonts w:ascii="Garamond" w:hAnsi="Garamond"/>
          <w:sz w:val="24"/>
        </w:rPr>
      </w:pPr>
      <w:r>
        <w:rPr>
          <w:rFonts w:ascii="Garamond" w:hAnsi="Garamond"/>
          <w:sz w:val="24"/>
        </w:rPr>
        <w:t>The International Social Survey Programme conducted four rounds of surveys on family and changing gender roles, between 1988 and 2012. This gives us the opportunity of compare attitudes towards gender equality over time in the five countries considered. Denmark was included in the 2002 round.</w:t>
      </w:r>
      <w:r w:rsidR="00F26BC8">
        <w:rPr>
          <w:rFonts w:ascii="Garamond" w:hAnsi="Garamond"/>
          <w:sz w:val="24"/>
        </w:rPr>
        <w:t xml:space="preserve"> In all countries, one can notice an increasingly positive attitudes towards ‘employment for all’ and female labour market participation, moving away from the ‘male breadwinner / </w:t>
      </w:r>
      <w:r w:rsidR="00F26BC8" w:rsidRPr="000E1D7B">
        <w:rPr>
          <w:rFonts w:ascii="Garamond" w:hAnsi="Garamond"/>
          <w:sz w:val="24"/>
        </w:rPr>
        <w:t>female homemaker’ model. Yet, there are some variations from one country to another</w:t>
      </w:r>
      <w:r w:rsidR="000E1D7B" w:rsidRPr="000E1D7B">
        <w:rPr>
          <w:rFonts w:ascii="Garamond" w:hAnsi="Garamond"/>
          <w:sz w:val="24"/>
        </w:rPr>
        <w:t xml:space="preserve"> and depending on the question asked</w:t>
      </w:r>
      <w:r w:rsidR="00F26BC8" w:rsidRPr="000E1D7B">
        <w:rPr>
          <w:rFonts w:ascii="Garamond" w:hAnsi="Garamond"/>
          <w:sz w:val="24"/>
        </w:rPr>
        <w:t>.</w:t>
      </w:r>
      <w:r w:rsidR="00113C5A" w:rsidRPr="000E1D7B">
        <w:rPr>
          <w:rFonts w:ascii="Garamond" w:hAnsi="Garamond"/>
          <w:sz w:val="24"/>
        </w:rPr>
        <w:t xml:space="preserve"> </w:t>
      </w:r>
      <w:r w:rsidR="009C5C34" w:rsidRPr="000E1D7B">
        <w:rPr>
          <w:rFonts w:ascii="Garamond" w:hAnsi="Garamond"/>
          <w:sz w:val="24"/>
        </w:rPr>
        <w:t>Denmark and Norway, which tend to be ahead of other European countries with regards to gender equality, have consistentl</w:t>
      </w:r>
      <w:r w:rsidR="000E1D7B" w:rsidRPr="000E1D7B">
        <w:rPr>
          <w:rFonts w:ascii="Garamond" w:hAnsi="Garamond"/>
          <w:sz w:val="24"/>
        </w:rPr>
        <w:t xml:space="preserve">y displayed positive attitudes. In the United Kingdom, attitudes have tended to stabilize over time when it comes to assessing whether both </w:t>
      </w:r>
      <w:r w:rsidR="000E1D7B" w:rsidRPr="000E1D7B">
        <w:rPr>
          <w:rFonts w:ascii="Garamond" w:eastAsia="Times New Roman" w:hAnsi="Garamond" w:cs="Times New Roman"/>
          <w:sz w:val="24"/>
          <w:szCs w:val="16"/>
          <w:lang w:eastAsia="en-GB"/>
        </w:rPr>
        <w:t>men</w:t>
      </w:r>
      <w:r w:rsidR="000E1D7B" w:rsidRPr="000F1DBB">
        <w:rPr>
          <w:rFonts w:ascii="Garamond" w:eastAsia="Times New Roman" w:hAnsi="Garamond" w:cs="Times New Roman"/>
          <w:sz w:val="24"/>
          <w:szCs w:val="16"/>
          <w:lang w:eastAsia="en-GB"/>
        </w:rPr>
        <w:t xml:space="preserve"> and </w:t>
      </w:r>
      <w:r w:rsidR="000E1D7B" w:rsidRPr="000E1D7B">
        <w:rPr>
          <w:rFonts w:ascii="Garamond" w:eastAsia="Times New Roman" w:hAnsi="Garamond" w:cs="Times New Roman"/>
          <w:sz w:val="24"/>
          <w:szCs w:val="16"/>
          <w:lang w:eastAsia="en-GB"/>
        </w:rPr>
        <w:t>women</w:t>
      </w:r>
      <w:r w:rsidR="000E1D7B" w:rsidRPr="000F1DBB">
        <w:rPr>
          <w:rFonts w:ascii="Garamond" w:eastAsia="Times New Roman" w:hAnsi="Garamond" w:cs="Times New Roman"/>
          <w:sz w:val="24"/>
          <w:szCs w:val="16"/>
          <w:lang w:eastAsia="en-GB"/>
        </w:rPr>
        <w:t xml:space="preserve"> should contribute to the household income</w:t>
      </w:r>
      <w:r w:rsidR="000E1D7B" w:rsidRPr="008068D5">
        <w:rPr>
          <w:rFonts w:ascii="Garamond" w:eastAsia="Times New Roman" w:hAnsi="Garamond" w:cs="Times New Roman"/>
          <w:sz w:val="24"/>
          <w:szCs w:val="16"/>
          <w:lang w:eastAsia="en-GB"/>
        </w:rPr>
        <w:t>.</w:t>
      </w:r>
      <w:r w:rsidR="008068D5" w:rsidRPr="008068D5">
        <w:rPr>
          <w:rFonts w:ascii="Garamond" w:hAnsi="Garamond"/>
          <w:sz w:val="24"/>
        </w:rPr>
        <w:t xml:space="preserve"> Major differences in attitudes appear </w:t>
      </w:r>
      <w:r w:rsidR="008068D5" w:rsidRPr="008068D5">
        <w:rPr>
          <w:rFonts w:ascii="Garamond" w:hAnsi="Garamond"/>
          <w:sz w:val="24"/>
        </w:rPr>
        <w:lastRenderedPageBreak/>
        <w:t xml:space="preserve">when respondents are asked whether </w:t>
      </w:r>
      <w:r w:rsidR="008068D5" w:rsidRPr="000F1DBB">
        <w:rPr>
          <w:rFonts w:ascii="Garamond" w:eastAsia="Times New Roman" w:hAnsi="Garamond" w:cs="Times New Roman"/>
          <w:sz w:val="24"/>
          <w:szCs w:val="16"/>
          <w:lang w:eastAsia="en-GB"/>
        </w:rPr>
        <w:t>family life suffers when the woman has a full-time job</w:t>
      </w:r>
      <w:r w:rsidR="008068D5">
        <w:rPr>
          <w:rFonts w:ascii="Garamond" w:eastAsia="Times New Roman" w:hAnsi="Garamond" w:cs="Times New Roman"/>
          <w:sz w:val="24"/>
          <w:szCs w:val="16"/>
          <w:lang w:eastAsia="en-GB"/>
        </w:rPr>
        <w:t>: while 73.3 per cent of respondents disagree with such statement, only 46.8 per cent of Britons and 39.1 per cent of Slovenians disagree.</w:t>
      </w:r>
      <w:r w:rsidR="009C5C34" w:rsidRPr="008068D5">
        <w:rPr>
          <w:rFonts w:ascii="Garamond" w:hAnsi="Garamond"/>
          <w:sz w:val="24"/>
        </w:rPr>
        <w:t xml:space="preserve"> </w:t>
      </w:r>
      <w:r w:rsidR="00113C5A" w:rsidRPr="008068D5">
        <w:rPr>
          <w:rFonts w:ascii="Garamond" w:hAnsi="Garamond"/>
          <w:sz w:val="24"/>
        </w:rPr>
        <w:t>Such variations might be interesting</w:t>
      </w:r>
      <w:r w:rsidR="00113C5A" w:rsidRPr="000E1D7B">
        <w:rPr>
          <w:rFonts w:ascii="Garamond" w:hAnsi="Garamond"/>
          <w:sz w:val="24"/>
        </w:rPr>
        <w:t xml:space="preserve"> to analyse and could </w:t>
      </w:r>
      <w:r w:rsidR="00113C5A">
        <w:rPr>
          <w:rFonts w:ascii="Garamond" w:hAnsi="Garamond"/>
          <w:sz w:val="24"/>
        </w:rPr>
        <w:t>be discussed as part of the WelfSOC project, based on discussions taking place in the democratic forums and focus groups.</w:t>
      </w:r>
    </w:p>
    <w:p w:rsidR="005378BC" w:rsidRDefault="005378BC" w:rsidP="005378BC">
      <w:pPr>
        <w:keepNext/>
        <w:spacing w:after="0" w:line="240" w:lineRule="auto"/>
        <w:rPr>
          <w:rFonts w:ascii="Garamond" w:eastAsia="Times New Roman" w:hAnsi="Garamond" w:cs="Times New Roman"/>
          <w:i/>
          <w:color w:val="333333"/>
          <w:sz w:val="24"/>
          <w:szCs w:val="16"/>
          <w:lang w:eastAsia="en-GB"/>
        </w:rPr>
      </w:pPr>
      <w:r>
        <w:rPr>
          <w:rFonts w:ascii="Garamond" w:eastAsia="Times New Roman" w:hAnsi="Garamond" w:cs="Times New Roman"/>
          <w:i/>
          <w:color w:val="333333"/>
          <w:sz w:val="24"/>
          <w:szCs w:val="16"/>
          <w:lang w:eastAsia="en-GB"/>
        </w:rPr>
        <w:t>W</w:t>
      </w:r>
      <w:r w:rsidRPr="005378BC">
        <w:rPr>
          <w:rFonts w:ascii="Garamond" w:eastAsia="Times New Roman" w:hAnsi="Garamond" w:cs="Times New Roman"/>
          <w:i/>
          <w:color w:val="333333"/>
          <w:sz w:val="24"/>
          <w:szCs w:val="16"/>
          <w:lang w:eastAsia="en-GB"/>
        </w:rPr>
        <w:t>orking mother can establish just as warm and secure a relationship with her children as a mother who does not work (% agree)</w:t>
      </w:r>
    </w:p>
    <w:p w:rsidR="009C5C34" w:rsidRPr="00F26BC8" w:rsidRDefault="009C5C34" w:rsidP="005378BC">
      <w:pPr>
        <w:keepNext/>
        <w:spacing w:after="0" w:line="240" w:lineRule="auto"/>
        <w:rPr>
          <w:rFonts w:ascii="Garamond" w:eastAsia="Times New Roman" w:hAnsi="Garamond" w:cs="Times New Roman"/>
          <w:color w:val="333333"/>
          <w:sz w:val="24"/>
          <w:szCs w:val="16"/>
          <w:lang w:eastAsia="en-GB"/>
        </w:rPr>
      </w:pPr>
    </w:p>
    <w:p w:rsidR="005378BC" w:rsidRPr="005378BC" w:rsidRDefault="005378BC" w:rsidP="005378BC">
      <w:pPr>
        <w:keepNext/>
        <w:spacing w:after="0" w:line="240" w:lineRule="auto"/>
        <w:rPr>
          <w:rFonts w:ascii="Garamond" w:eastAsia="Times New Roman" w:hAnsi="Garamond" w:cs="Times New Roman"/>
          <w:i/>
          <w:color w:val="333333"/>
          <w:sz w:val="24"/>
          <w:szCs w:val="16"/>
          <w:lang w:eastAsia="en-GB"/>
        </w:rPr>
      </w:pPr>
    </w:p>
    <w:p w:rsidR="005378BC" w:rsidRDefault="005378BC" w:rsidP="005378BC">
      <w:pPr>
        <w:keepNext/>
        <w:rPr>
          <w:rFonts w:ascii="Garamond" w:hAnsi="Garamond"/>
          <w:sz w:val="24"/>
        </w:rPr>
      </w:pPr>
      <w:r>
        <w:rPr>
          <w:noProof/>
          <w:lang w:eastAsia="en-GB"/>
        </w:rPr>
        <w:drawing>
          <wp:inline distT="0" distB="0" distL="0" distR="0">
            <wp:extent cx="4572000" cy="2743200"/>
            <wp:effectExtent l="0" t="0" r="19050" b="19050"/>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Pr>
          <w:rFonts w:ascii="Garamond" w:hAnsi="Garamond"/>
          <w:sz w:val="24"/>
        </w:rPr>
        <w:t xml:space="preserve"> </w:t>
      </w:r>
    </w:p>
    <w:p w:rsidR="000F1DBB" w:rsidRDefault="000F1DBB" w:rsidP="00AB590E">
      <w:pPr>
        <w:spacing w:after="0" w:line="240" w:lineRule="auto"/>
        <w:rPr>
          <w:rFonts w:ascii="Garamond" w:eastAsia="Times New Roman" w:hAnsi="Garamond" w:cs="Times New Roman"/>
          <w:i/>
          <w:color w:val="333333"/>
          <w:sz w:val="24"/>
          <w:szCs w:val="16"/>
          <w:lang w:eastAsia="en-GB"/>
        </w:rPr>
      </w:pPr>
      <w:r w:rsidRPr="000F1DBB">
        <w:rPr>
          <w:rFonts w:ascii="Garamond" w:eastAsia="Times New Roman" w:hAnsi="Garamond" w:cs="Times New Roman"/>
          <w:i/>
          <w:color w:val="333333"/>
          <w:sz w:val="24"/>
          <w:szCs w:val="16"/>
          <w:lang w:eastAsia="en-GB"/>
        </w:rPr>
        <w:t>All in all, family life suffers when the woman has a full-time job (% disagree)</w:t>
      </w:r>
    </w:p>
    <w:p w:rsidR="00AB590E" w:rsidRPr="00AB590E" w:rsidRDefault="00AB590E" w:rsidP="00AB590E">
      <w:pPr>
        <w:spacing w:after="0" w:line="240" w:lineRule="auto"/>
        <w:rPr>
          <w:rFonts w:ascii="Garamond" w:eastAsia="Times New Roman" w:hAnsi="Garamond" w:cs="Times New Roman"/>
          <w:i/>
          <w:color w:val="333333"/>
          <w:sz w:val="24"/>
          <w:szCs w:val="16"/>
          <w:lang w:eastAsia="en-GB"/>
        </w:rPr>
      </w:pPr>
    </w:p>
    <w:p w:rsidR="00AE1807" w:rsidRDefault="000F1DBB" w:rsidP="000855C7">
      <w:pPr>
        <w:rPr>
          <w:rFonts w:ascii="Garamond" w:hAnsi="Garamond"/>
          <w:sz w:val="24"/>
        </w:rPr>
      </w:pPr>
      <w:r>
        <w:rPr>
          <w:noProof/>
          <w:lang w:eastAsia="en-GB"/>
        </w:rPr>
        <w:drawing>
          <wp:inline distT="0" distB="0" distL="0" distR="0">
            <wp:extent cx="4572000" cy="2743200"/>
            <wp:effectExtent l="0" t="0" r="19050" b="19050"/>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F1DBB" w:rsidRPr="00AB590E" w:rsidRDefault="000F1DBB" w:rsidP="000E1D7B">
      <w:pPr>
        <w:keepNext/>
        <w:spacing w:after="0" w:line="240" w:lineRule="auto"/>
        <w:rPr>
          <w:rFonts w:ascii="Garamond" w:eastAsia="Times New Roman" w:hAnsi="Garamond" w:cs="Times New Roman"/>
          <w:i/>
          <w:color w:val="333333"/>
          <w:sz w:val="24"/>
          <w:szCs w:val="16"/>
          <w:lang w:eastAsia="en-GB"/>
        </w:rPr>
      </w:pPr>
      <w:r w:rsidRPr="000F1DBB">
        <w:rPr>
          <w:rFonts w:ascii="Garamond" w:eastAsia="Times New Roman" w:hAnsi="Garamond" w:cs="Times New Roman"/>
          <w:i/>
          <w:color w:val="333333"/>
          <w:sz w:val="24"/>
          <w:szCs w:val="16"/>
          <w:lang w:eastAsia="en-GB"/>
        </w:rPr>
        <w:lastRenderedPageBreak/>
        <w:t>Both the husband and wife should contribute to the household income (% agree)</w:t>
      </w:r>
    </w:p>
    <w:p w:rsidR="000F1DBB" w:rsidRDefault="000F1DBB" w:rsidP="000E1D7B">
      <w:pPr>
        <w:keepNext/>
        <w:rPr>
          <w:rFonts w:ascii="Garamond" w:hAnsi="Garamond"/>
          <w:sz w:val="24"/>
        </w:rPr>
      </w:pPr>
    </w:p>
    <w:p w:rsidR="000F1DBB" w:rsidRDefault="000F1DBB" w:rsidP="000E1D7B">
      <w:pPr>
        <w:keepNext/>
        <w:rPr>
          <w:rFonts w:ascii="Garamond" w:hAnsi="Garamond"/>
          <w:sz w:val="24"/>
        </w:rPr>
      </w:pPr>
      <w:r>
        <w:rPr>
          <w:noProof/>
          <w:lang w:eastAsia="en-GB"/>
        </w:rPr>
        <w:drawing>
          <wp:inline distT="0" distB="0" distL="0" distR="0">
            <wp:extent cx="4572000" cy="2743200"/>
            <wp:effectExtent l="0" t="0" r="19050" b="19050"/>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B590E" w:rsidRDefault="00AB590E" w:rsidP="000855C7">
      <w:pPr>
        <w:rPr>
          <w:rFonts w:ascii="Garamond" w:hAnsi="Garamond"/>
          <w:sz w:val="24"/>
        </w:rPr>
      </w:pPr>
    </w:p>
    <w:p w:rsidR="00AB590E" w:rsidRDefault="00AB590E" w:rsidP="00AB590E">
      <w:pPr>
        <w:spacing w:after="0" w:line="240" w:lineRule="auto"/>
        <w:rPr>
          <w:rFonts w:ascii="Garamond" w:eastAsia="Times New Roman" w:hAnsi="Garamond" w:cs="Times New Roman"/>
          <w:i/>
          <w:color w:val="333333"/>
          <w:sz w:val="24"/>
          <w:szCs w:val="16"/>
          <w:lang w:eastAsia="en-GB"/>
        </w:rPr>
      </w:pPr>
      <w:r w:rsidRPr="00AB590E">
        <w:rPr>
          <w:rFonts w:ascii="Garamond" w:eastAsia="Times New Roman" w:hAnsi="Garamond" w:cs="Times New Roman"/>
          <w:i/>
          <w:color w:val="333333"/>
          <w:sz w:val="24"/>
          <w:szCs w:val="16"/>
          <w:lang w:eastAsia="en-GB"/>
        </w:rPr>
        <w:t>A husband's job is to earn money; a wife's job is to look after the home and family (% disagree)</w:t>
      </w:r>
    </w:p>
    <w:p w:rsidR="00AB590E" w:rsidRPr="00AB590E" w:rsidRDefault="00AB590E" w:rsidP="00AB590E">
      <w:pPr>
        <w:spacing w:after="0" w:line="240" w:lineRule="auto"/>
        <w:rPr>
          <w:rFonts w:ascii="Garamond" w:eastAsia="Times New Roman" w:hAnsi="Garamond" w:cs="Times New Roman"/>
          <w:i/>
          <w:color w:val="333333"/>
          <w:sz w:val="24"/>
          <w:szCs w:val="16"/>
          <w:lang w:eastAsia="en-GB"/>
        </w:rPr>
      </w:pPr>
    </w:p>
    <w:p w:rsidR="000F1DBB" w:rsidRDefault="00AB590E" w:rsidP="000855C7">
      <w:pPr>
        <w:rPr>
          <w:rFonts w:ascii="Garamond" w:hAnsi="Garamond"/>
          <w:sz w:val="24"/>
        </w:rPr>
      </w:pPr>
      <w:r>
        <w:rPr>
          <w:noProof/>
          <w:lang w:eastAsia="en-GB"/>
        </w:rPr>
        <w:drawing>
          <wp:inline distT="0" distB="0" distL="0" distR="0">
            <wp:extent cx="4572000" cy="2743200"/>
            <wp:effectExtent l="0" t="0" r="19050" b="19050"/>
            <wp:docPr id="7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E1807" w:rsidRPr="00AE1807" w:rsidRDefault="00AE1807" w:rsidP="000855C7">
      <w:pPr>
        <w:rPr>
          <w:rFonts w:ascii="Garamond" w:hAnsi="Garamond"/>
          <w:i/>
          <w:sz w:val="28"/>
          <w:u w:val="single"/>
        </w:rPr>
      </w:pPr>
      <w:r w:rsidRPr="00AE1807">
        <w:rPr>
          <w:rFonts w:ascii="Garamond" w:hAnsi="Garamond"/>
          <w:i/>
          <w:sz w:val="28"/>
          <w:u w:val="single"/>
        </w:rPr>
        <w:t>Conclusion</w:t>
      </w:r>
    </w:p>
    <w:p w:rsidR="00FF7F2F" w:rsidRDefault="00885FD5" w:rsidP="00AE13A7">
      <w:pPr>
        <w:jc w:val="both"/>
        <w:rPr>
          <w:rFonts w:ascii="Garamond" w:hAnsi="Garamond" w:cs="Times New Roman"/>
          <w:sz w:val="24"/>
          <w:szCs w:val="24"/>
        </w:rPr>
      </w:pPr>
      <w:r>
        <w:rPr>
          <w:rFonts w:ascii="Garamond" w:hAnsi="Garamond" w:cs="Times New Roman"/>
          <w:sz w:val="24"/>
          <w:szCs w:val="24"/>
        </w:rPr>
        <w:t xml:space="preserve">This overview of public attitudes towards welfare provisions in Germany, the United Kingdom, Norway, Slovenia and Denmark has demonstrated </w:t>
      </w:r>
      <w:r w:rsidR="00AE13A7">
        <w:rPr>
          <w:rFonts w:ascii="Garamond" w:hAnsi="Garamond" w:cs="Times New Roman"/>
          <w:sz w:val="24"/>
          <w:szCs w:val="24"/>
        </w:rPr>
        <w:t>similarities and divergences. While in all countries, the population seems to strongly believe in the governments’ responsibility to provide a wide range of benefits and services</w:t>
      </w:r>
      <w:r w:rsidR="00074225">
        <w:rPr>
          <w:rFonts w:ascii="Garamond" w:hAnsi="Garamond" w:cs="Times New Roman"/>
          <w:sz w:val="24"/>
          <w:szCs w:val="24"/>
        </w:rPr>
        <w:t>, including some provision aimed at social investment and at better opportunities for women (child care; care leave)</w:t>
      </w:r>
      <w:r w:rsidR="00AE13A7">
        <w:rPr>
          <w:rFonts w:ascii="Garamond" w:hAnsi="Garamond" w:cs="Times New Roman"/>
          <w:sz w:val="24"/>
          <w:szCs w:val="24"/>
        </w:rPr>
        <w:t xml:space="preserve">, public support for more government spending </w:t>
      </w:r>
      <w:r w:rsidR="00074225">
        <w:rPr>
          <w:rFonts w:ascii="Garamond" w:hAnsi="Garamond" w:cs="Times New Roman"/>
          <w:sz w:val="24"/>
          <w:szCs w:val="24"/>
        </w:rPr>
        <w:t xml:space="preserve">varies </w:t>
      </w:r>
      <w:r w:rsidR="00AE13A7">
        <w:rPr>
          <w:rFonts w:ascii="Garamond" w:hAnsi="Garamond" w:cs="Times New Roman"/>
          <w:sz w:val="24"/>
          <w:szCs w:val="24"/>
        </w:rPr>
        <w:t xml:space="preserve">significantly depending on the country and on the type of welfare provision considered. For instance, </w:t>
      </w:r>
      <w:r w:rsidR="00503962">
        <w:rPr>
          <w:rFonts w:ascii="Garamond" w:hAnsi="Garamond" w:cs="Times New Roman"/>
          <w:sz w:val="24"/>
          <w:szCs w:val="24"/>
        </w:rPr>
        <w:t xml:space="preserve">unemployment benefits have tended to be less popular since 1996 in all </w:t>
      </w:r>
      <w:r w:rsidR="00503962">
        <w:rPr>
          <w:rFonts w:ascii="Garamond" w:hAnsi="Garamond" w:cs="Times New Roman"/>
          <w:sz w:val="24"/>
          <w:szCs w:val="24"/>
        </w:rPr>
        <w:lastRenderedPageBreak/>
        <w:t>countries</w:t>
      </w:r>
      <w:r w:rsidR="00332613">
        <w:rPr>
          <w:rFonts w:ascii="Garamond" w:hAnsi="Garamond" w:cs="Times New Roman"/>
          <w:sz w:val="24"/>
          <w:szCs w:val="24"/>
        </w:rPr>
        <w:t>. Welfare chauvinism also appears to be a widespread phenomenon in the five countries considered, though more relevant in Denmark, th</w:t>
      </w:r>
      <w:r w:rsidR="00A706D3">
        <w:rPr>
          <w:rFonts w:ascii="Garamond" w:hAnsi="Garamond" w:cs="Times New Roman"/>
          <w:sz w:val="24"/>
          <w:szCs w:val="24"/>
        </w:rPr>
        <w:t xml:space="preserve">e United Kingdom and Norway than in </w:t>
      </w:r>
      <w:r w:rsidR="00AC6FCC">
        <w:rPr>
          <w:rFonts w:ascii="Garamond" w:hAnsi="Garamond" w:cs="Times New Roman"/>
          <w:sz w:val="24"/>
          <w:szCs w:val="24"/>
        </w:rPr>
        <w:t xml:space="preserve">Germany and </w:t>
      </w:r>
      <w:r w:rsidR="00A706D3">
        <w:rPr>
          <w:rFonts w:ascii="Garamond" w:hAnsi="Garamond" w:cs="Times New Roman"/>
          <w:sz w:val="24"/>
          <w:szCs w:val="24"/>
        </w:rPr>
        <w:t>Slovenia</w:t>
      </w:r>
      <w:r w:rsidR="00E64882">
        <w:rPr>
          <w:rFonts w:ascii="Garamond" w:hAnsi="Garamond" w:cs="Times New Roman"/>
          <w:sz w:val="24"/>
          <w:szCs w:val="24"/>
        </w:rPr>
        <w:t xml:space="preserve">. This suggests </w:t>
      </w:r>
      <w:r w:rsidR="00FF7F2F">
        <w:rPr>
          <w:rFonts w:ascii="Garamond" w:hAnsi="Garamond" w:cs="Times New Roman"/>
          <w:sz w:val="24"/>
          <w:szCs w:val="24"/>
        </w:rPr>
        <w:t>the erosion of</w:t>
      </w:r>
      <w:r w:rsidR="00E34010">
        <w:rPr>
          <w:rFonts w:ascii="Garamond" w:hAnsi="Garamond" w:cs="Times New Roman"/>
          <w:sz w:val="24"/>
          <w:szCs w:val="24"/>
        </w:rPr>
        <w:t xml:space="preserve"> solidarities with regards to migrants, and possibly the emergence of a new wave of nationalist solidarities.</w:t>
      </w:r>
      <w:r w:rsidR="00E64882">
        <w:rPr>
          <w:rFonts w:ascii="Garamond" w:hAnsi="Garamond" w:cs="Times New Roman"/>
          <w:sz w:val="24"/>
          <w:szCs w:val="24"/>
        </w:rPr>
        <w:t xml:space="preserve"> </w:t>
      </w:r>
      <w:r w:rsidR="00C84179">
        <w:rPr>
          <w:rFonts w:ascii="Garamond" w:hAnsi="Garamond" w:cs="Times New Roman"/>
          <w:sz w:val="24"/>
          <w:szCs w:val="24"/>
        </w:rPr>
        <w:t xml:space="preserve">Attitudes towards inequality also </w:t>
      </w:r>
      <w:r w:rsidR="00074225">
        <w:rPr>
          <w:rFonts w:ascii="Garamond" w:hAnsi="Garamond" w:cs="Times New Roman"/>
          <w:sz w:val="24"/>
          <w:szCs w:val="24"/>
        </w:rPr>
        <w:t xml:space="preserve">vary </w:t>
      </w:r>
      <w:r w:rsidR="00C84179">
        <w:rPr>
          <w:rFonts w:ascii="Garamond" w:hAnsi="Garamond" w:cs="Times New Roman"/>
          <w:sz w:val="24"/>
          <w:szCs w:val="24"/>
        </w:rPr>
        <w:t xml:space="preserve">significantly </w:t>
      </w:r>
      <w:r w:rsidR="00FD53C6">
        <w:rPr>
          <w:rFonts w:ascii="Garamond" w:hAnsi="Garamond" w:cs="Times New Roman"/>
          <w:sz w:val="24"/>
          <w:szCs w:val="24"/>
        </w:rPr>
        <w:t xml:space="preserve">from one country to another. Among some of the findings discussed above, the fact that Danish respondents do not strongly believe that their government should reduce differences in income levels stands out. Slovenian attitudes seem to be slightly more ambivalent than in other countries, too. </w:t>
      </w:r>
      <w:r w:rsidR="00C66D2A">
        <w:rPr>
          <w:rFonts w:ascii="Garamond" w:hAnsi="Garamond" w:cs="Times New Roman"/>
          <w:sz w:val="24"/>
          <w:szCs w:val="24"/>
        </w:rPr>
        <w:t xml:space="preserve">Finally, while there has been an increasing </w:t>
      </w:r>
      <w:r w:rsidR="00732308">
        <w:rPr>
          <w:rFonts w:ascii="Garamond" w:hAnsi="Garamond" w:cs="Times New Roman"/>
          <w:sz w:val="24"/>
          <w:szCs w:val="24"/>
        </w:rPr>
        <w:t xml:space="preserve">shift towards a ‘dual breadwinner’ in all five countries analysed, attitudes towards gender equality </w:t>
      </w:r>
      <w:r w:rsidR="00EF736B">
        <w:rPr>
          <w:rFonts w:ascii="Garamond" w:hAnsi="Garamond" w:cs="Times New Roman"/>
          <w:sz w:val="24"/>
          <w:szCs w:val="24"/>
        </w:rPr>
        <w:t>may vary strongly, for instance when it comes to assessing the impact of a working mother on family life.</w:t>
      </w:r>
    </w:p>
    <w:p w:rsidR="00475251" w:rsidRPr="00EF736B" w:rsidRDefault="00074225" w:rsidP="00AE13A7">
      <w:pPr>
        <w:jc w:val="both"/>
        <w:rPr>
          <w:rFonts w:ascii="Garamond" w:hAnsi="Garamond" w:cs="Times New Roman"/>
          <w:sz w:val="24"/>
          <w:szCs w:val="24"/>
        </w:rPr>
      </w:pPr>
      <w:r>
        <w:rPr>
          <w:rFonts w:ascii="Garamond" w:hAnsi="Garamond" w:cs="Times New Roman"/>
          <w:sz w:val="24"/>
          <w:szCs w:val="24"/>
        </w:rPr>
        <w:t>These differences are located within a general picture of considerable support for the welfare state in Europe, both for traditional mass services (pensions and health care) and for new social risk/ social investment provis</w:t>
      </w:r>
      <w:r w:rsidR="006A0D32">
        <w:rPr>
          <w:rFonts w:ascii="Garamond" w:hAnsi="Garamond" w:cs="Times New Roman"/>
          <w:sz w:val="24"/>
          <w:szCs w:val="24"/>
        </w:rPr>
        <w:t xml:space="preserve">ion. It is noticeable that these attitudes persist despite the move towards more neo-liberal policy approaches and towards austerity and balanced budgets in responses to the Great Recession after 2010. </w:t>
      </w:r>
      <w:r>
        <w:rPr>
          <w:rFonts w:ascii="Garamond" w:hAnsi="Garamond" w:cs="Times New Roman"/>
          <w:sz w:val="24"/>
          <w:szCs w:val="24"/>
        </w:rPr>
        <w:t xml:space="preserve"> </w:t>
      </w:r>
      <w:r w:rsidR="006A0D32">
        <w:rPr>
          <w:rFonts w:ascii="Garamond" w:hAnsi="Garamond" w:cs="Times New Roman"/>
          <w:sz w:val="24"/>
          <w:szCs w:val="24"/>
        </w:rPr>
        <w:t>The distinction between deserving and undeserving groups particularly focused on unemployed people has become well established during the past 20 years</w:t>
      </w:r>
      <w:r>
        <w:rPr>
          <w:rFonts w:ascii="Garamond" w:hAnsi="Garamond" w:cs="Times New Roman"/>
          <w:sz w:val="24"/>
          <w:szCs w:val="24"/>
        </w:rPr>
        <w:t xml:space="preserve">, </w:t>
      </w:r>
      <w:r w:rsidR="006A0D32">
        <w:rPr>
          <w:rFonts w:ascii="Garamond" w:hAnsi="Garamond" w:cs="Times New Roman"/>
          <w:sz w:val="24"/>
          <w:szCs w:val="24"/>
        </w:rPr>
        <w:t>and much</w:t>
      </w:r>
      <w:r>
        <w:rPr>
          <w:rFonts w:ascii="Garamond" w:hAnsi="Garamond" w:cs="Times New Roman"/>
          <w:sz w:val="24"/>
          <w:szCs w:val="24"/>
        </w:rPr>
        <w:t xml:space="preserve"> greater concerns </w:t>
      </w:r>
      <w:r w:rsidR="006A0D32">
        <w:rPr>
          <w:rFonts w:ascii="Garamond" w:hAnsi="Garamond" w:cs="Times New Roman"/>
          <w:sz w:val="24"/>
          <w:szCs w:val="24"/>
        </w:rPr>
        <w:t xml:space="preserve">are emerging </w:t>
      </w:r>
      <w:r>
        <w:rPr>
          <w:rFonts w:ascii="Garamond" w:hAnsi="Garamond" w:cs="Times New Roman"/>
          <w:sz w:val="24"/>
          <w:szCs w:val="24"/>
        </w:rPr>
        <w:t xml:space="preserve">about the inclusion of immigrants within the welfare framework. </w:t>
      </w:r>
      <w:r w:rsidR="00EF736B">
        <w:rPr>
          <w:rFonts w:ascii="Garamond" w:hAnsi="Garamond" w:cs="Times New Roman"/>
          <w:sz w:val="24"/>
          <w:szCs w:val="24"/>
        </w:rPr>
        <w:t xml:space="preserve">Our fieldwork is expected to dig further in these similarities and divergences, and will help us assessing whether austerity </w:t>
      </w:r>
      <w:r w:rsidR="006A0D32">
        <w:rPr>
          <w:rFonts w:ascii="Garamond" w:hAnsi="Garamond" w:cs="Times New Roman"/>
          <w:sz w:val="24"/>
          <w:szCs w:val="24"/>
        </w:rPr>
        <w:t xml:space="preserve">is now </w:t>
      </w:r>
      <w:r w:rsidR="00FF7F2F">
        <w:rPr>
          <w:rFonts w:ascii="Garamond" w:hAnsi="Garamond" w:cs="Times New Roman"/>
          <w:sz w:val="24"/>
          <w:szCs w:val="24"/>
        </w:rPr>
        <w:t>undermining</w:t>
      </w:r>
      <w:r w:rsidR="00EF736B">
        <w:rPr>
          <w:rFonts w:ascii="Garamond" w:hAnsi="Garamond" w:cs="Times New Roman"/>
          <w:sz w:val="24"/>
          <w:szCs w:val="24"/>
        </w:rPr>
        <w:t xml:space="preserve"> </w:t>
      </w:r>
      <w:r w:rsidR="006A0D32">
        <w:rPr>
          <w:rFonts w:ascii="Garamond" w:hAnsi="Garamond" w:cs="Times New Roman"/>
          <w:sz w:val="24"/>
          <w:szCs w:val="24"/>
        </w:rPr>
        <w:t>the pattern of</w:t>
      </w:r>
      <w:r w:rsidR="00EF736B">
        <w:rPr>
          <w:rFonts w:ascii="Garamond" w:hAnsi="Garamond" w:cs="Times New Roman"/>
          <w:sz w:val="24"/>
          <w:szCs w:val="24"/>
        </w:rPr>
        <w:t xml:space="preserve"> solidarities </w:t>
      </w:r>
      <w:r w:rsidR="006A0D32">
        <w:rPr>
          <w:rFonts w:ascii="Garamond" w:hAnsi="Garamond" w:cs="Times New Roman"/>
          <w:sz w:val="24"/>
          <w:szCs w:val="24"/>
        </w:rPr>
        <w:t>on which</w:t>
      </w:r>
      <w:r w:rsidR="00EF736B">
        <w:rPr>
          <w:rFonts w:ascii="Garamond" w:hAnsi="Garamond" w:cs="Times New Roman"/>
          <w:sz w:val="24"/>
          <w:szCs w:val="24"/>
        </w:rPr>
        <w:t xml:space="preserve"> European </w:t>
      </w:r>
      <w:r w:rsidR="006A0D32">
        <w:rPr>
          <w:rFonts w:ascii="Garamond" w:hAnsi="Garamond" w:cs="Times New Roman"/>
          <w:sz w:val="24"/>
          <w:szCs w:val="24"/>
        </w:rPr>
        <w:t>welfare states were founded</w:t>
      </w:r>
      <w:r w:rsidR="00FF7F2F">
        <w:rPr>
          <w:rFonts w:ascii="Garamond" w:hAnsi="Garamond" w:cs="Times New Roman"/>
          <w:sz w:val="24"/>
          <w:szCs w:val="24"/>
        </w:rPr>
        <w:t>, and whether public attitudes are moving towards support for new approaches to social provision</w:t>
      </w:r>
      <w:r w:rsidR="00EF736B">
        <w:rPr>
          <w:rFonts w:ascii="Garamond" w:hAnsi="Garamond" w:cs="Times New Roman"/>
          <w:sz w:val="24"/>
          <w:szCs w:val="24"/>
        </w:rPr>
        <w:t xml:space="preserve">.  </w:t>
      </w:r>
    </w:p>
    <w:p w:rsidR="00475251" w:rsidRPr="0058485E" w:rsidRDefault="00475251" w:rsidP="00475251">
      <w:pPr>
        <w:rPr>
          <w:rFonts w:ascii="Garamond" w:hAnsi="Garamond"/>
          <w:b/>
          <w:sz w:val="24"/>
        </w:rPr>
      </w:pPr>
    </w:p>
    <w:sectPr w:rsidR="00475251" w:rsidRPr="0058485E" w:rsidSect="003B7B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0C6" w:rsidRDefault="001660C6" w:rsidP="00B646F2">
      <w:pPr>
        <w:spacing w:after="0" w:line="240" w:lineRule="auto"/>
      </w:pPr>
      <w:r>
        <w:separator/>
      </w:r>
    </w:p>
  </w:endnote>
  <w:endnote w:type="continuationSeparator" w:id="0">
    <w:p w:rsidR="001660C6" w:rsidRDefault="001660C6" w:rsidP="00B64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0C6" w:rsidRDefault="001660C6" w:rsidP="00B646F2">
      <w:pPr>
        <w:spacing w:after="0" w:line="240" w:lineRule="auto"/>
      </w:pPr>
      <w:r>
        <w:separator/>
      </w:r>
    </w:p>
  </w:footnote>
  <w:footnote w:type="continuationSeparator" w:id="0">
    <w:p w:rsidR="001660C6" w:rsidRDefault="001660C6" w:rsidP="00B646F2">
      <w:pPr>
        <w:spacing w:after="0" w:line="240" w:lineRule="auto"/>
      </w:pPr>
      <w:r>
        <w:continuationSeparator/>
      </w:r>
    </w:p>
  </w:footnote>
  <w:footnote w:id="1">
    <w:p w:rsidR="00B646F2" w:rsidRPr="00332613" w:rsidRDefault="00B646F2">
      <w:pPr>
        <w:pStyle w:val="FootnoteText"/>
        <w:rPr>
          <w:rFonts w:ascii="Garamond" w:hAnsi="Garamond"/>
        </w:rPr>
      </w:pPr>
      <w:r w:rsidRPr="00B646F2">
        <w:rPr>
          <w:rStyle w:val="FootnoteReference"/>
          <w:rFonts w:ascii="Garamond" w:hAnsi="Garamond"/>
        </w:rPr>
        <w:footnoteRef/>
      </w:r>
      <w:r w:rsidRPr="00B646F2">
        <w:rPr>
          <w:rFonts w:ascii="Garamond" w:hAnsi="Garamond"/>
        </w:rPr>
        <w:t xml:space="preserve"> Bay, A.-H., </w:t>
      </w:r>
      <w:r w:rsidRPr="00332613">
        <w:rPr>
          <w:rFonts w:ascii="Garamond" w:hAnsi="Garamond"/>
        </w:rPr>
        <w:t xml:space="preserve">Finseraas, H. and Pedersen, A. W. (2013) ‘Welfare Dualism in Two Scandinavian Welfare States: Public Opinion and Party Politics’, </w:t>
      </w:r>
      <w:r w:rsidRPr="00332613">
        <w:rPr>
          <w:rFonts w:ascii="Garamond" w:hAnsi="Garamond"/>
          <w:i/>
        </w:rPr>
        <w:t>West European Politics</w:t>
      </w:r>
      <w:r w:rsidRPr="00332613">
        <w:rPr>
          <w:rFonts w:ascii="Garamond" w:hAnsi="Garamond"/>
        </w:rPr>
        <w:t xml:space="preserve"> 36(1), pp. 199-220.</w:t>
      </w:r>
    </w:p>
  </w:footnote>
  <w:footnote w:id="2">
    <w:p w:rsidR="00332613" w:rsidRDefault="00332613">
      <w:pPr>
        <w:pStyle w:val="FootnoteText"/>
      </w:pPr>
      <w:r w:rsidRPr="00332613">
        <w:rPr>
          <w:rStyle w:val="FootnoteReference"/>
          <w:rFonts w:ascii="Garamond" w:hAnsi="Garamond"/>
        </w:rPr>
        <w:footnoteRef/>
      </w:r>
      <w:r w:rsidRPr="00332613">
        <w:rPr>
          <w:rFonts w:ascii="Garamond" w:hAnsi="Garamond"/>
        </w:rPr>
        <w:t xml:space="preserve"> Note: graphics drawing on ESS surveys include other countries covered by our first book proposal.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C3936"/>
    <w:multiLevelType w:val="hybridMultilevel"/>
    <w:tmpl w:val="D1B0E95E"/>
    <w:lvl w:ilvl="0" w:tplc="65EA2D80">
      <w:start w:val="24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8A6021"/>
    <w:multiLevelType w:val="hybridMultilevel"/>
    <w:tmpl w:val="BD5CEA70"/>
    <w:lvl w:ilvl="0" w:tplc="9BF20352">
      <w:start w:val="2450"/>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393A1527"/>
    <w:multiLevelType w:val="hybridMultilevel"/>
    <w:tmpl w:val="0DE433C2"/>
    <w:lvl w:ilvl="0" w:tplc="CBD64BC4">
      <w:start w:val="245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31B1FA1"/>
    <w:multiLevelType w:val="hybridMultilevel"/>
    <w:tmpl w:val="44FCFA5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15:restartNumberingAfterBreak="0">
    <w:nsid w:val="5075551F"/>
    <w:multiLevelType w:val="hybridMultilevel"/>
    <w:tmpl w:val="BB14A53E"/>
    <w:lvl w:ilvl="0" w:tplc="A3CC7AF0">
      <w:start w:val="24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251"/>
    <w:rsid w:val="00000CA5"/>
    <w:rsid w:val="00002D2C"/>
    <w:rsid w:val="000109EE"/>
    <w:rsid w:val="00010DCC"/>
    <w:rsid w:val="0003721B"/>
    <w:rsid w:val="00042DE2"/>
    <w:rsid w:val="00047E6A"/>
    <w:rsid w:val="00050B9D"/>
    <w:rsid w:val="000510E0"/>
    <w:rsid w:val="00052136"/>
    <w:rsid w:val="0005699A"/>
    <w:rsid w:val="00064C09"/>
    <w:rsid w:val="00074225"/>
    <w:rsid w:val="000753C4"/>
    <w:rsid w:val="00076C7D"/>
    <w:rsid w:val="00081EDE"/>
    <w:rsid w:val="000855C7"/>
    <w:rsid w:val="00085B3C"/>
    <w:rsid w:val="000A41A4"/>
    <w:rsid w:val="000A6979"/>
    <w:rsid w:val="000A7DEC"/>
    <w:rsid w:val="000B237A"/>
    <w:rsid w:val="000B6872"/>
    <w:rsid w:val="000D0877"/>
    <w:rsid w:val="000D4608"/>
    <w:rsid w:val="000D5BF5"/>
    <w:rsid w:val="000D67F5"/>
    <w:rsid w:val="000D746E"/>
    <w:rsid w:val="000E09FE"/>
    <w:rsid w:val="000E1D7B"/>
    <w:rsid w:val="000E69A7"/>
    <w:rsid w:val="000F19C1"/>
    <w:rsid w:val="000F1DBB"/>
    <w:rsid w:val="000F1DF2"/>
    <w:rsid w:val="000F1ECF"/>
    <w:rsid w:val="000F4C7C"/>
    <w:rsid w:val="000F69F6"/>
    <w:rsid w:val="0010387D"/>
    <w:rsid w:val="001076FE"/>
    <w:rsid w:val="001136EE"/>
    <w:rsid w:val="00113C5A"/>
    <w:rsid w:val="00115E8C"/>
    <w:rsid w:val="001330E7"/>
    <w:rsid w:val="00143F57"/>
    <w:rsid w:val="00150959"/>
    <w:rsid w:val="001521C0"/>
    <w:rsid w:val="0016198B"/>
    <w:rsid w:val="001639C9"/>
    <w:rsid w:val="00164404"/>
    <w:rsid w:val="001660C6"/>
    <w:rsid w:val="00172475"/>
    <w:rsid w:val="00180B46"/>
    <w:rsid w:val="00185C62"/>
    <w:rsid w:val="001865EA"/>
    <w:rsid w:val="00190907"/>
    <w:rsid w:val="00193002"/>
    <w:rsid w:val="0019431E"/>
    <w:rsid w:val="001A5119"/>
    <w:rsid w:val="001C3644"/>
    <w:rsid w:val="001D24F0"/>
    <w:rsid w:val="001D3E5F"/>
    <w:rsid w:val="001D4064"/>
    <w:rsid w:val="001D41D2"/>
    <w:rsid w:val="001E162F"/>
    <w:rsid w:val="001E2A6F"/>
    <w:rsid w:val="001E3634"/>
    <w:rsid w:val="001E476A"/>
    <w:rsid w:val="001E6EC9"/>
    <w:rsid w:val="001F7F9D"/>
    <w:rsid w:val="00200FBE"/>
    <w:rsid w:val="002152AC"/>
    <w:rsid w:val="00226B58"/>
    <w:rsid w:val="0022742F"/>
    <w:rsid w:val="0023018A"/>
    <w:rsid w:val="00234FDF"/>
    <w:rsid w:val="0025313A"/>
    <w:rsid w:val="00254F14"/>
    <w:rsid w:val="002643F3"/>
    <w:rsid w:val="00276525"/>
    <w:rsid w:val="0028479A"/>
    <w:rsid w:val="002922D9"/>
    <w:rsid w:val="002932DE"/>
    <w:rsid w:val="002A09E8"/>
    <w:rsid w:val="002A2973"/>
    <w:rsid w:val="002A6290"/>
    <w:rsid w:val="002B44D5"/>
    <w:rsid w:val="002B7203"/>
    <w:rsid w:val="002D1EFC"/>
    <w:rsid w:val="002E5A09"/>
    <w:rsid w:val="002F3343"/>
    <w:rsid w:val="002F4D31"/>
    <w:rsid w:val="002F7692"/>
    <w:rsid w:val="002F7EF9"/>
    <w:rsid w:val="003011D3"/>
    <w:rsid w:val="003069EB"/>
    <w:rsid w:val="00313689"/>
    <w:rsid w:val="003139D2"/>
    <w:rsid w:val="00314BD2"/>
    <w:rsid w:val="00315A26"/>
    <w:rsid w:val="003169EB"/>
    <w:rsid w:val="003238F1"/>
    <w:rsid w:val="0033101B"/>
    <w:rsid w:val="00332613"/>
    <w:rsid w:val="00337B82"/>
    <w:rsid w:val="00340B99"/>
    <w:rsid w:val="00343073"/>
    <w:rsid w:val="00356F45"/>
    <w:rsid w:val="003723EE"/>
    <w:rsid w:val="003939BB"/>
    <w:rsid w:val="003A3214"/>
    <w:rsid w:val="003A50C3"/>
    <w:rsid w:val="003A5198"/>
    <w:rsid w:val="003A67D1"/>
    <w:rsid w:val="003B1EEE"/>
    <w:rsid w:val="003B7BF3"/>
    <w:rsid w:val="003C325D"/>
    <w:rsid w:val="003C77B9"/>
    <w:rsid w:val="003D379A"/>
    <w:rsid w:val="003D37A1"/>
    <w:rsid w:val="003D5E65"/>
    <w:rsid w:val="003E0005"/>
    <w:rsid w:val="004210CF"/>
    <w:rsid w:val="00427203"/>
    <w:rsid w:val="0043355A"/>
    <w:rsid w:val="00437826"/>
    <w:rsid w:val="0044049D"/>
    <w:rsid w:val="004404D6"/>
    <w:rsid w:val="004407F0"/>
    <w:rsid w:val="004500CF"/>
    <w:rsid w:val="0045276B"/>
    <w:rsid w:val="00461C04"/>
    <w:rsid w:val="00475251"/>
    <w:rsid w:val="004864A3"/>
    <w:rsid w:val="004871E7"/>
    <w:rsid w:val="004A1288"/>
    <w:rsid w:val="004A5442"/>
    <w:rsid w:val="004B0F24"/>
    <w:rsid w:val="004B1BE4"/>
    <w:rsid w:val="004B2837"/>
    <w:rsid w:val="004B7A52"/>
    <w:rsid w:val="004C5B83"/>
    <w:rsid w:val="004F2CC7"/>
    <w:rsid w:val="004F7CEA"/>
    <w:rsid w:val="00503962"/>
    <w:rsid w:val="00510B7E"/>
    <w:rsid w:val="0051417A"/>
    <w:rsid w:val="00514BEA"/>
    <w:rsid w:val="0052191E"/>
    <w:rsid w:val="00522161"/>
    <w:rsid w:val="00533408"/>
    <w:rsid w:val="005378BC"/>
    <w:rsid w:val="00537F9C"/>
    <w:rsid w:val="00541033"/>
    <w:rsid w:val="005603ED"/>
    <w:rsid w:val="00571931"/>
    <w:rsid w:val="00582E14"/>
    <w:rsid w:val="0058485E"/>
    <w:rsid w:val="005A2128"/>
    <w:rsid w:val="005A359C"/>
    <w:rsid w:val="005B27F7"/>
    <w:rsid w:val="005B3FA5"/>
    <w:rsid w:val="005C0CDB"/>
    <w:rsid w:val="005C2FF2"/>
    <w:rsid w:val="005D1B79"/>
    <w:rsid w:val="005D704B"/>
    <w:rsid w:val="005D7850"/>
    <w:rsid w:val="005F27A6"/>
    <w:rsid w:val="005F49DE"/>
    <w:rsid w:val="00601FF9"/>
    <w:rsid w:val="006119BA"/>
    <w:rsid w:val="00616AE1"/>
    <w:rsid w:val="00623B6F"/>
    <w:rsid w:val="00635509"/>
    <w:rsid w:val="006500F7"/>
    <w:rsid w:val="006607C7"/>
    <w:rsid w:val="00660AAA"/>
    <w:rsid w:val="00664C9E"/>
    <w:rsid w:val="0067133D"/>
    <w:rsid w:val="00683569"/>
    <w:rsid w:val="0069383D"/>
    <w:rsid w:val="006A0D32"/>
    <w:rsid w:val="006A1531"/>
    <w:rsid w:val="006A51DC"/>
    <w:rsid w:val="006C2207"/>
    <w:rsid w:val="006C7DD0"/>
    <w:rsid w:val="006C7E3E"/>
    <w:rsid w:val="006D791D"/>
    <w:rsid w:val="006E41FB"/>
    <w:rsid w:val="006F2791"/>
    <w:rsid w:val="007250D5"/>
    <w:rsid w:val="00726F5A"/>
    <w:rsid w:val="00732308"/>
    <w:rsid w:val="00745E90"/>
    <w:rsid w:val="00753FBC"/>
    <w:rsid w:val="00754C05"/>
    <w:rsid w:val="00762ECC"/>
    <w:rsid w:val="007653E2"/>
    <w:rsid w:val="0077055D"/>
    <w:rsid w:val="00771C19"/>
    <w:rsid w:val="007921DA"/>
    <w:rsid w:val="00794524"/>
    <w:rsid w:val="00795174"/>
    <w:rsid w:val="007951AC"/>
    <w:rsid w:val="007A6EDD"/>
    <w:rsid w:val="007B2180"/>
    <w:rsid w:val="007B23B3"/>
    <w:rsid w:val="007B75AE"/>
    <w:rsid w:val="007C7BA0"/>
    <w:rsid w:val="007D1960"/>
    <w:rsid w:val="007F30D8"/>
    <w:rsid w:val="00804FAD"/>
    <w:rsid w:val="00806202"/>
    <w:rsid w:val="008068D5"/>
    <w:rsid w:val="00810731"/>
    <w:rsid w:val="00814C03"/>
    <w:rsid w:val="00824842"/>
    <w:rsid w:val="00830E18"/>
    <w:rsid w:val="008404ED"/>
    <w:rsid w:val="00847A88"/>
    <w:rsid w:val="0085499F"/>
    <w:rsid w:val="008553BF"/>
    <w:rsid w:val="00881A08"/>
    <w:rsid w:val="00883270"/>
    <w:rsid w:val="00885FD5"/>
    <w:rsid w:val="00892EF8"/>
    <w:rsid w:val="00895894"/>
    <w:rsid w:val="00896A56"/>
    <w:rsid w:val="008A5190"/>
    <w:rsid w:val="008D01B7"/>
    <w:rsid w:val="008D3433"/>
    <w:rsid w:val="008D7161"/>
    <w:rsid w:val="008E0F97"/>
    <w:rsid w:val="008E3730"/>
    <w:rsid w:val="008E3734"/>
    <w:rsid w:val="009158BB"/>
    <w:rsid w:val="00930CF3"/>
    <w:rsid w:val="00933A81"/>
    <w:rsid w:val="0095014E"/>
    <w:rsid w:val="00965E4B"/>
    <w:rsid w:val="009709A1"/>
    <w:rsid w:val="00975E4E"/>
    <w:rsid w:val="009A75B7"/>
    <w:rsid w:val="009B4526"/>
    <w:rsid w:val="009C1132"/>
    <w:rsid w:val="009C5C34"/>
    <w:rsid w:val="009C7D73"/>
    <w:rsid w:val="009D270A"/>
    <w:rsid w:val="009D286F"/>
    <w:rsid w:val="009D4DC0"/>
    <w:rsid w:val="009D63E3"/>
    <w:rsid w:val="009E66AD"/>
    <w:rsid w:val="009F2B24"/>
    <w:rsid w:val="00A05108"/>
    <w:rsid w:val="00A13FE6"/>
    <w:rsid w:val="00A17A72"/>
    <w:rsid w:val="00A205B2"/>
    <w:rsid w:val="00A2161F"/>
    <w:rsid w:val="00A21EBF"/>
    <w:rsid w:val="00A27B3E"/>
    <w:rsid w:val="00A31946"/>
    <w:rsid w:val="00A466B6"/>
    <w:rsid w:val="00A46A0F"/>
    <w:rsid w:val="00A5418A"/>
    <w:rsid w:val="00A5484B"/>
    <w:rsid w:val="00A63226"/>
    <w:rsid w:val="00A706D3"/>
    <w:rsid w:val="00A71ED8"/>
    <w:rsid w:val="00A82547"/>
    <w:rsid w:val="00A9251A"/>
    <w:rsid w:val="00A92BAB"/>
    <w:rsid w:val="00A93B74"/>
    <w:rsid w:val="00A95A79"/>
    <w:rsid w:val="00AA00F3"/>
    <w:rsid w:val="00AA53E9"/>
    <w:rsid w:val="00AA584F"/>
    <w:rsid w:val="00AB590E"/>
    <w:rsid w:val="00AC6FCC"/>
    <w:rsid w:val="00AD23C2"/>
    <w:rsid w:val="00AE13A7"/>
    <w:rsid w:val="00AE1807"/>
    <w:rsid w:val="00AF6A23"/>
    <w:rsid w:val="00B22382"/>
    <w:rsid w:val="00B25048"/>
    <w:rsid w:val="00B25778"/>
    <w:rsid w:val="00B2633F"/>
    <w:rsid w:val="00B50EF3"/>
    <w:rsid w:val="00B5253D"/>
    <w:rsid w:val="00B5464E"/>
    <w:rsid w:val="00B5493C"/>
    <w:rsid w:val="00B6226B"/>
    <w:rsid w:val="00B646F2"/>
    <w:rsid w:val="00B71634"/>
    <w:rsid w:val="00B74A5F"/>
    <w:rsid w:val="00B778E4"/>
    <w:rsid w:val="00B8381B"/>
    <w:rsid w:val="00B8545A"/>
    <w:rsid w:val="00B93854"/>
    <w:rsid w:val="00BB7E89"/>
    <w:rsid w:val="00BC597A"/>
    <w:rsid w:val="00BC7577"/>
    <w:rsid w:val="00BD1216"/>
    <w:rsid w:val="00BD5166"/>
    <w:rsid w:val="00BD5341"/>
    <w:rsid w:val="00BF05E1"/>
    <w:rsid w:val="00C00D59"/>
    <w:rsid w:val="00C01EFA"/>
    <w:rsid w:val="00C17411"/>
    <w:rsid w:val="00C21A86"/>
    <w:rsid w:val="00C2761C"/>
    <w:rsid w:val="00C27A9D"/>
    <w:rsid w:val="00C4524A"/>
    <w:rsid w:val="00C47C30"/>
    <w:rsid w:val="00C5390A"/>
    <w:rsid w:val="00C57F6E"/>
    <w:rsid w:val="00C66D2A"/>
    <w:rsid w:val="00C72384"/>
    <w:rsid w:val="00C84179"/>
    <w:rsid w:val="00C95B3C"/>
    <w:rsid w:val="00CA0A26"/>
    <w:rsid w:val="00CB0879"/>
    <w:rsid w:val="00CC25CB"/>
    <w:rsid w:val="00CC2C4A"/>
    <w:rsid w:val="00CE1B73"/>
    <w:rsid w:val="00CE44C6"/>
    <w:rsid w:val="00CE54BB"/>
    <w:rsid w:val="00CF1118"/>
    <w:rsid w:val="00CF6BB4"/>
    <w:rsid w:val="00D04421"/>
    <w:rsid w:val="00D1034B"/>
    <w:rsid w:val="00D11280"/>
    <w:rsid w:val="00D119ED"/>
    <w:rsid w:val="00D24579"/>
    <w:rsid w:val="00D4127E"/>
    <w:rsid w:val="00D50CBB"/>
    <w:rsid w:val="00D52EEA"/>
    <w:rsid w:val="00D53CD7"/>
    <w:rsid w:val="00D64B77"/>
    <w:rsid w:val="00D91442"/>
    <w:rsid w:val="00DA2782"/>
    <w:rsid w:val="00DA32F6"/>
    <w:rsid w:val="00DB142B"/>
    <w:rsid w:val="00DB466F"/>
    <w:rsid w:val="00DB65CE"/>
    <w:rsid w:val="00DC0A4B"/>
    <w:rsid w:val="00DD268A"/>
    <w:rsid w:val="00DD7ECC"/>
    <w:rsid w:val="00DD7FCE"/>
    <w:rsid w:val="00DE2167"/>
    <w:rsid w:val="00DE2F2F"/>
    <w:rsid w:val="00DE5354"/>
    <w:rsid w:val="00DE79BF"/>
    <w:rsid w:val="00E03215"/>
    <w:rsid w:val="00E10C8C"/>
    <w:rsid w:val="00E210F0"/>
    <w:rsid w:val="00E219D7"/>
    <w:rsid w:val="00E231AF"/>
    <w:rsid w:val="00E32FD4"/>
    <w:rsid w:val="00E34010"/>
    <w:rsid w:val="00E36A84"/>
    <w:rsid w:val="00E37B9F"/>
    <w:rsid w:val="00E419D7"/>
    <w:rsid w:val="00E424E9"/>
    <w:rsid w:val="00E46E16"/>
    <w:rsid w:val="00E531EF"/>
    <w:rsid w:val="00E62CE7"/>
    <w:rsid w:val="00E64448"/>
    <w:rsid w:val="00E64882"/>
    <w:rsid w:val="00E66954"/>
    <w:rsid w:val="00E829EB"/>
    <w:rsid w:val="00EA074A"/>
    <w:rsid w:val="00EA21EC"/>
    <w:rsid w:val="00EA526A"/>
    <w:rsid w:val="00EA599E"/>
    <w:rsid w:val="00EB303D"/>
    <w:rsid w:val="00EC24EE"/>
    <w:rsid w:val="00ED1B6C"/>
    <w:rsid w:val="00ED29E8"/>
    <w:rsid w:val="00ED58AF"/>
    <w:rsid w:val="00ED7A22"/>
    <w:rsid w:val="00ED7D69"/>
    <w:rsid w:val="00EF736B"/>
    <w:rsid w:val="00EF7F25"/>
    <w:rsid w:val="00F15F29"/>
    <w:rsid w:val="00F24548"/>
    <w:rsid w:val="00F26BC8"/>
    <w:rsid w:val="00F34514"/>
    <w:rsid w:val="00F475DF"/>
    <w:rsid w:val="00F52B78"/>
    <w:rsid w:val="00F60294"/>
    <w:rsid w:val="00F65F0C"/>
    <w:rsid w:val="00F76EC5"/>
    <w:rsid w:val="00F81353"/>
    <w:rsid w:val="00F83FA2"/>
    <w:rsid w:val="00FA517F"/>
    <w:rsid w:val="00FB5ED1"/>
    <w:rsid w:val="00FB6E9F"/>
    <w:rsid w:val="00FC0000"/>
    <w:rsid w:val="00FC09F3"/>
    <w:rsid w:val="00FC7DF1"/>
    <w:rsid w:val="00FD2234"/>
    <w:rsid w:val="00FD4762"/>
    <w:rsid w:val="00FD53C6"/>
    <w:rsid w:val="00FD5B73"/>
    <w:rsid w:val="00FD726F"/>
    <w:rsid w:val="00FD7443"/>
    <w:rsid w:val="00FE3A02"/>
    <w:rsid w:val="00FE62C5"/>
    <w:rsid w:val="00FE7313"/>
    <w:rsid w:val="00FF59F9"/>
    <w:rsid w:val="00FF5E1D"/>
    <w:rsid w:val="00FF7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38798-B79A-47A0-B7E6-2BEEDE04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51"/>
    <w:pPr>
      <w:ind w:left="720"/>
      <w:contextualSpacing/>
    </w:pPr>
  </w:style>
  <w:style w:type="table" w:styleId="TableGrid">
    <w:name w:val="Table Grid"/>
    <w:basedOn w:val="TableNormal"/>
    <w:uiPriority w:val="59"/>
    <w:rsid w:val="00A20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6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872"/>
    <w:rPr>
      <w:rFonts w:ascii="Tahoma" w:hAnsi="Tahoma" w:cs="Tahoma"/>
      <w:sz w:val="16"/>
      <w:szCs w:val="16"/>
    </w:rPr>
  </w:style>
  <w:style w:type="paragraph" w:styleId="FootnoteText">
    <w:name w:val="footnote text"/>
    <w:basedOn w:val="Normal"/>
    <w:link w:val="FootnoteTextChar"/>
    <w:uiPriority w:val="99"/>
    <w:semiHidden/>
    <w:unhideWhenUsed/>
    <w:rsid w:val="00B646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46F2"/>
    <w:rPr>
      <w:sz w:val="20"/>
      <w:szCs w:val="20"/>
    </w:rPr>
  </w:style>
  <w:style w:type="character" w:styleId="FootnoteReference">
    <w:name w:val="footnote reference"/>
    <w:basedOn w:val="DefaultParagraphFont"/>
    <w:uiPriority w:val="99"/>
    <w:semiHidden/>
    <w:unhideWhenUsed/>
    <w:rsid w:val="00B646F2"/>
    <w:rPr>
      <w:vertAlign w:val="superscript"/>
    </w:rPr>
  </w:style>
  <w:style w:type="character" w:styleId="CommentReference">
    <w:name w:val="annotation reference"/>
    <w:basedOn w:val="DefaultParagraphFont"/>
    <w:uiPriority w:val="99"/>
    <w:semiHidden/>
    <w:unhideWhenUsed/>
    <w:rsid w:val="005B27F7"/>
    <w:rPr>
      <w:sz w:val="16"/>
      <w:szCs w:val="16"/>
    </w:rPr>
  </w:style>
  <w:style w:type="paragraph" w:styleId="CommentText">
    <w:name w:val="annotation text"/>
    <w:basedOn w:val="Normal"/>
    <w:link w:val="CommentTextChar"/>
    <w:uiPriority w:val="99"/>
    <w:semiHidden/>
    <w:unhideWhenUsed/>
    <w:rsid w:val="005B27F7"/>
    <w:pPr>
      <w:spacing w:line="240" w:lineRule="auto"/>
    </w:pPr>
    <w:rPr>
      <w:sz w:val="20"/>
      <w:szCs w:val="20"/>
    </w:rPr>
  </w:style>
  <w:style w:type="character" w:customStyle="1" w:styleId="CommentTextChar">
    <w:name w:val="Comment Text Char"/>
    <w:basedOn w:val="DefaultParagraphFont"/>
    <w:link w:val="CommentText"/>
    <w:uiPriority w:val="99"/>
    <w:semiHidden/>
    <w:rsid w:val="005B27F7"/>
    <w:rPr>
      <w:sz w:val="20"/>
      <w:szCs w:val="20"/>
    </w:rPr>
  </w:style>
  <w:style w:type="paragraph" w:styleId="CommentSubject">
    <w:name w:val="annotation subject"/>
    <w:basedOn w:val="CommentText"/>
    <w:next w:val="CommentText"/>
    <w:link w:val="CommentSubjectChar"/>
    <w:uiPriority w:val="99"/>
    <w:semiHidden/>
    <w:unhideWhenUsed/>
    <w:rsid w:val="005B27F7"/>
    <w:rPr>
      <w:b/>
      <w:bCs/>
    </w:rPr>
  </w:style>
  <w:style w:type="character" w:customStyle="1" w:styleId="CommentSubjectChar">
    <w:name w:val="Comment Subject Char"/>
    <w:basedOn w:val="CommentTextChar"/>
    <w:link w:val="CommentSubject"/>
    <w:uiPriority w:val="99"/>
    <w:semiHidden/>
    <w:rsid w:val="005B27F7"/>
    <w:rPr>
      <w:b/>
      <w:bCs/>
      <w:sz w:val="20"/>
      <w:szCs w:val="20"/>
    </w:rPr>
  </w:style>
  <w:style w:type="paragraph" w:styleId="EndnoteText">
    <w:name w:val="endnote text"/>
    <w:basedOn w:val="Normal"/>
    <w:link w:val="EndnoteTextChar"/>
    <w:uiPriority w:val="99"/>
    <w:semiHidden/>
    <w:unhideWhenUsed/>
    <w:rsid w:val="003A50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50C3"/>
    <w:rPr>
      <w:sz w:val="20"/>
      <w:szCs w:val="20"/>
    </w:rPr>
  </w:style>
  <w:style w:type="character" w:styleId="EndnoteReference">
    <w:name w:val="endnote reference"/>
    <w:basedOn w:val="DefaultParagraphFont"/>
    <w:uiPriority w:val="99"/>
    <w:semiHidden/>
    <w:unhideWhenUsed/>
    <w:rsid w:val="003A50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03975">
      <w:bodyDiv w:val="1"/>
      <w:marLeft w:val="0"/>
      <w:marRight w:val="0"/>
      <w:marTop w:val="0"/>
      <w:marBottom w:val="0"/>
      <w:divBdr>
        <w:top w:val="none" w:sz="0" w:space="0" w:color="auto"/>
        <w:left w:val="none" w:sz="0" w:space="0" w:color="auto"/>
        <w:bottom w:val="none" w:sz="0" w:space="0" w:color="auto"/>
        <w:right w:val="none" w:sz="0" w:space="0" w:color="auto"/>
      </w:divBdr>
    </w:div>
    <w:div w:id="359550954">
      <w:bodyDiv w:val="1"/>
      <w:marLeft w:val="0"/>
      <w:marRight w:val="0"/>
      <w:marTop w:val="0"/>
      <w:marBottom w:val="0"/>
      <w:divBdr>
        <w:top w:val="none" w:sz="0" w:space="0" w:color="auto"/>
        <w:left w:val="none" w:sz="0" w:space="0" w:color="auto"/>
        <w:bottom w:val="none" w:sz="0" w:space="0" w:color="auto"/>
        <w:right w:val="none" w:sz="0" w:space="0" w:color="auto"/>
      </w:divBdr>
    </w:div>
    <w:div w:id="494033646">
      <w:bodyDiv w:val="1"/>
      <w:marLeft w:val="0"/>
      <w:marRight w:val="0"/>
      <w:marTop w:val="0"/>
      <w:marBottom w:val="0"/>
      <w:divBdr>
        <w:top w:val="none" w:sz="0" w:space="0" w:color="auto"/>
        <w:left w:val="none" w:sz="0" w:space="0" w:color="auto"/>
        <w:bottom w:val="none" w:sz="0" w:space="0" w:color="auto"/>
        <w:right w:val="none" w:sz="0" w:space="0" w:color="auto"/>
      </w:divBdr>
    </w:div>
    <w:div w:id="627441927">
      <w:bodyDiv w:val="1"/>
      <w:marLeft w:val="0"/>
      <w:marRight w:val="0"/>
      <w:marTop w:val="0"/>
      <w:marBottom w:val="0"/>
      <w:divBdr>
        <w:top w:val="none" w:sz="0" w:space="0" w:color="auto"/>
        <w:left w:val="none" w:sz="0" w:space="0" w:color="auto"/>
        <w:bottom w:val="none" w:sz="0" w:space="0" w:color="auto"/>
        <w:right w:val="none" w:sz="0" w:space="0" w:color="auto"/>
      </w:divBdr>
    </w:div>
    <w:div w:id="73763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chart" Target="charts/chart27.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s>
</file>

<file path=word/charts/_rels/chart1.xml.rels><?xml version="1.0" encoding="UTF-8" standalone="yes"?>
<Relationships xmlns="http://schemas.openxmlformats.org/package/2006/relationships"><Relationship Id="rId1" Type="http://schemas.openxmlformats.org/officeDocument/2006/relationships/oleObject" Target="file:///\\bodiam\SPR\bjl24\My%20Files\OUP%20Welfare\ESS%202008%20attitudes%20Figures\DONE\Child%20care%20services%20for%20working%20parents,%20governments'%20responsibilit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bodiam\SPR\bjl24\My%20Files\Datasets\ISSP%20Government%20spending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bodiam\SPR\bjl24\My%20Files\OUP%20Welfare\ESS%202008%20attitudes%20Figures\When%20should%20immigrants%20obtain%20rights%20to%20social%20benefits%20service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bodiam\SPR\bjl24\My%20Files\OUP%20Welfare\ESS%202008%20attitudes%20Figures\Social%20benefits%20services%20encourage%20people%20other%20countries%20to%20come%20live%20here.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bodiam\SPR\bjl24\My%20Files\OUP%20Welfare\ESS%202008%20attitudes%20Figures\DONE\Immigrants%20receive%20more%20or%20less%20than%20they%20contribute.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bodiam\SPR\bjl24\My%20Files\OUP%20Welfare\European%20Quality%20of%20Life%202011%20figures\Q27b%20Immigrants%20are%20a%20strain%20on%20our%20welfare%20system.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Peter\Downloads\ilc_di1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bodiam\SPR\bjl24\My%20Files\OUP%20Welfare\ESS%202008%20attitudes%20Figures\DONE\Health%20care%20for%20the%20sick,%20governments'%20responsibility.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bodiam\SPR\bjl24\My%20Files\OUP%20Welfare\ESS%202008%20attitudes%20Figures\NEOLIBERALISM%20-%20Large%20differences%20in%20income%20acceptable%20to%20reward%20talents%20and%20effort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bodiam\SPR\bjl24\My%20Files\OUP%20Welfare\ESS%202008%20attitudes%20Figures\NEOLIBERALISM%20-%20Government%20should%20reduce%20differences%20in%20income%20level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bodiam\SPR\bjl24\My%20Files\OUP%20Welfare\ESS%202008%20attitudes%20Figures\NEOLIBERALISM%20-%20For%20fair%20society,%20differences%20in%20standard%20of%20living%20should%20be%20small.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bodiam\SPR\bjl24\My%20Files\OUP%20Welfare\ESS%202008%20attitudes%20Figures\Taxation%20for%20higher%20versus%20lower%20earners.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bodiam\SPR\bjl24\My%20Files\Datasets\ISSP%20gender%20equality.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bodiam\SPR\bjl24\My%20Files\Datasets\ISSP%20gender%20equality.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bodiam\SPR\bjl24\My%20Files\Datasets\ISSP%20gender%20equality.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bodiam\SPR\bjl24\My%20Files\Datasets\ISSP%20gender%20equalit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bodiam\SPR\bjl24\My%20Files\OUP%20Welfare\ESS%202008%20attitudes%20Figures\DONE\Paid%20leave%20from%20work%20to%20care%20for%20sick%20family,%20governments'%20responsibilit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bodiam\SPR\bjl24\My%20Files\OUP%20Welfare\ESS%202008%20attitudes%20Figures\DONE\Standard%20of%20living%20for%20the%20unemployed,%20governments'%20responsibilit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bodiam\SPR\bjl24\My%20Files\OUP%20Welfare\ESS%202008%20attitudes%20Figures\DONE\Standard%20of%20living%20for%20the%20old,%20governments'%20responsibilit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bodiam\SPR\bjl24\My%20Files\OUP%20Welfare\ESS%202008%20attitudes%20Figures\DONE\Job%20for%20everyone,%20governments'%20responsibilit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bodiam\SPR\bjl24\My%20Files\Datasets\ISSP%20Government%20spending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bodiam\SPR\bjl24\My%20Files\Datasets\ISSP%20Government%20spending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bodiam\SPR\bjl24\My%20Files\Datasets\ISSP%20Government%20spending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Sheet1!$M$3</c:f>
              <c:strCache>
                <c:ptCount val="1"/>
                <c:pt idx="0">
                  <c:v>Total</c:v>
                </c:pt>
              </c:strCache>
            </c:strRef>
          </c:tx>
          <c:invertIfNegative val="0"/>
          <c:cat>
            <c:strRef>
              <c:f>Sheet1!$A$5:$L$12</c:f>
              <c:strCache>
                <c:ptCount val="8"/>
                <c:pt idx="0">
                  <c:v>Germany</c:v>
                </c:pt>
                <c:pt idx="1">
                  <c:v>Denmark</c:v>
                </c:pt>
                <c:pt idx="2">
                  <c:v>France</c:v>
                </c:pt>
                <c:pt idx="3">
                  <c:v>United Kingdom</c:v>
                </c:pt>
                <c:pt idx="4">
                  <c:v>Greece</c:v>
                </c:pt>
                <c:pt idx="5">
                  <c:v>Norway</c:v>
                </c:pt>
                <c:pt idx="6">
                  <c:v>Sweden</c:v>
                </c:pt>
                <c:pt idx="7">
                  <c:v>Slovenia</c:v>
                </c:pt>
              </c:strCache>
            </c:strRef>
          </c:cat>
          <c:val>
            <c:numRef>
              <c:f>Sheet1!$M$4:$M$12</c:f>
            </c:numRef>
          </c:val>
        </c:ser>
        <c:ser>
          <c:idx val="1"/>
          <c:order val="1"/>
          <c:tx>
            <c:strRef>
              <c:f>Sheet1!$N$3</c:f>
              <c:strCache>
                <c:ptCount val="1"/>
              </c:strCache>
            </c:strRef>
          </c:tx>
          <c:invertIfNegative val="0"/>
          <c:cat>
            <c:strRef>
              <c:f>Sheet1!$A$5:$L$12</c:f>
              <c:strCache>
                <c:ptCount val="8"/>
                <c:pt idx="0">
                  <c:v>Germany</c:v>
                </c:pt>
                <c:pt idx="1">
                  <c:v>Denmark</c:v>
                </c:pt>
                <c:pt idx="2">
                  <c:v>France</c:v>
                </c:pt>
                <c:pt idx="3">
                  <c:v>United Kingdom</c:v>
                </c:pt>
                <c:pt idx="4">
                  <c:v>Greece</c:v>
                </c:pt>
                <c:pt idx="5">
                  <c:v>Norway</c:v>
                </c:pt>
                <c:pt idx="6">
                  <c:v>Sweden</c:v>
                </c:pt>
                <c:pt idx="7">
                  <c:v>Slovenia</c:v>
                </c:pt>
              </c:strCache>
            </c:strRef>
          </c:cat>
          <c:val>
            <c:numRef>
              <c:f>Sheet1!$N$4:$N$12</c:f>
            </c:numRef>
          </c:val>
        </c:ser>
        <c:ser>
          <c:idx val="2"/>
          <c:order val="2"/>
          <c:tx>
            <c:strRef>
              <c:f>Sheet1!$O$3</c:f>
              <c:strCache>
                <c:ptCount val="1"/>
              </c:strCache>
            </c:strRef>
          </c:tx>
          <c:invertIfNegative val="0"/>
          <c:cat>
            <c:strRef>
              <c:f>Sheet1!$A$5:$L$12</c:f>
              <c:strCache>
                <c:ptCount val="8"/>
                <c:pt idx="0">
                  <c:v>Germany</c:v>
                </c:pt>
                <c:pt idx="1">
                  <c:v>Denmark</c:v>
                </c:pt>
                <c:pt idx="2">
                  <c:v>France</c:v>
                </c:pt>
                <c:pt idx="3">
                  <c:v>United Kingdom</c:v>
                </c:pt>
                <c:pt idx="4">
                  <c:v>Greece</c:v>
                </c:pt>
                <c:pt idx="5">
                  <c:v>Norway</c:v>
                </c:pt>
                <c:pt idx="6">
                  <c:v>Sweden</c:v>
                </c:pt>
                <c:pt idx="7">
                  <c:v>Slovenia</c:v>
                </c:pt>
              </c:strCache>
            </c:strRef>
          </c:cat>
          <c:val>
            <c:numRef>
              <c:f>Sheet1!$O$4:$O$12</c:f>
            </c:numRef>
          </c:val>
        </c:ser>
        <c:ser>
          <c:idx val="3"/>
          <c:order val="3"/>
          <c:tx>
            <c:v>No Responsibility</c:v>
          </c:tx>
          <c:spPr>
            <a:solidFill>
              <a:schemeClr val="accent2"/>
            </a:solidFill>
          </c:spPr>
          <c:invertIfNegative val="0"/>
          <c:cat>
            <c:strRef>
              <c:f>Sheet1!$A$5:$L$12</c:f>
              <c:strCache>
                <c:ptCount val="8"/>
                <c:pt idx="0">
                  <c:v>Germany</c:v>
                </c:pt>
                <c:pt idx="1">
                  <c:v>Denmark</c:v>
                </c:pt>
                <c:pt idx="2">
                  <c:v>France</c:v>
                </c:pt>
                <c:pt idx="3">
                  <c:v>United Kingdom</c:v>
                </c:pt>
                <c:pt idx="4">
                  <c:v>Greece</c:v>
                </c:pt>
                <c:pt idx="5">
                  <c:v>Norway</c:v>
                </c:pt>
                <c:pt idx="6">
                  <c:v>Sweden</c:v>
                </c:pt>
                <c:pt idx="7">
                  <c:v>Slovenia</c:v>
                </c:pt>
              </c:strCache>
            </c:strRef>
          </c:cat>
          <c:val>
            <c:numRef>
              <c:f>Sheet1!$P$5:$P$12</c:f>
              <c:numCache>
                <c:formatCode>####.0%</c:formatCode>
                <c:ptCount val="8"/>
                <c:pt idx="0">
                  <c:v>1.2105649303008073E-2</c:v>
                </c:pt>
                <c:pt idx="1">
                  <c:v>1.4529374605180048E-2</c:v>
                </c:pt>
                <c:pt idx="2">
                  <c:v>2.0418084589207589E-2</c:v>
                </c:pt>
                <c:pt idx="3">
                  <c:v>2.8211805555555573E-2</c:v>
                </c:pt>
                <c:pt idx="4">
                  <c:v>7.7519379844961291E-3</c:v>
                </c:pt>
                <c:pt idx="5">
                  <c:v>9.0850097339390083E-3</c:v>
                </c:pt>
                <c:pt idx="6">
                  <c:v>1.3407821229050291E-2</c:v>
                </c:pt>
                <c:pt idx="7">
                  <c:v>1.4878621769772908E-2</c:v>
                </c:pt>
              </c:numCache>
            </c:numRef>
          </c:val>
        </c:ser>
        <c:ser>
          <c:idx val="4"/>
          <c:order val="4"/>
          <c:tx>
            <c:v>Responsibility</c:v>
          </c:tx>
          <c:spPr>
            <a:solidFill>
              <a:schemeClr val="accent1"/>
            </a:solidFill>
          </c:spPr>
          <c:invertIfNegative val="0"/>
          <c:cat>
            <c:strRef>
              <c:f>Sheet1!$A$5:$L$12</c:f>
              <c:strCache>
                <c:ptCount val="8"/>
                <c:pt idx="0">
                  <c:v>Germany</c:v>
                </c:pt>
                <c:pt idx="1">
                  <c:v>Denmark</c:v>
                </c:pt>
                <c:pt idx="2">
                  <c:v>France</c:v>
                </c:pt>
                <c:pt idx="3">
                  <c:v>United Kingdom</c:v>
                </c:pt>
                <c:pt idx="4">
                  <c:v>Greece</c:v>
                </c:pt>
                <c:pt idx="5">
                  <c:v>Norway</c:v>
                </c:pt>
                <c:pt idx="6">
                  <c:v>Sweden</c:v>
                </c:pt>
                <c:pt idx="7">
                  <c:v>Slovenia</c:v>
                </c:pt>
              </c:strCache>
            </c:strRef>
          </c:cat>
          <c:val>
            <c:numRef>
              <c:f>Sheet1!$Q$5:$Q$12</c:f>
              <c:numCache>
                <c:formatCode>###0.0%</c:formatCode>
                <c:ptCount val="8"/>
                <c:pt idx="0">
                  <c:v>0.87674247982391784</c:v>
                </c:pt>
                <c:pt idx="1">
                  <c:v>0.89766266582438392</c:v>
                </c:pt>
                <c:pt idx="2">
                  <c:v>0.78366553232863412</c:v>
                </c:pt>
                <c:pt idx="3">
                  <c:v>0.73958333333333348</c:v>
                </c:pt>
                <c:pt idx="4">
                  <c:v>0.95542635658914754</c:v>
                </c:pt>
                <c:pt idx="5">
                  <c:v>0.88838416612589244</c:v>
                </c:pt>
                <c:pt idx="6">
                  <c:v>0.90223463687150851</c:v>
                </c:pt>
                <c:pt idx="7">
                  <c:v>0.89115113547376679</c:v>
                </c:pt>
              </c:numCache>
            </c:numRef>
          </c:val>
        </c:ser>
        <c:dLbls>
          <c:showLegendKey val="0"/>
          <c:showVal val="0"/>
          <c:showCatName val="0"/>
          <c:showSerName val="0"/>
          <c:showPercent val="0"/>
          <c:showBubbleSize val="0"/>
        </c:dLbls>
        <c:gapWidth val="150"/>
        <c:axId val="568447344"/>
        <c:axId val="568444208"/>
      </c:barChart>
      <c:catAx>
        <c:axId val="568447344"/>
        <c:scaling>
          <c:orientation val="minMax"/>
        </c:scaling>
        <c:delete val="0"/>
        <c:axPos val="b"/>
        <c:numFmt formatCode="General" sourceLinked="0"/>
        <c:majorTickMark val="out"/>
        <c:minorTickMark val="none"/>
        <c:tickLblPos val="nextTo"/>
        <c:crossAx val="568444208"/>
        <c:crosses val="autoZero"/>
        <c:auto val="1"/>
        <c:lblAlgn val="ctr"/>
        <c:lblOffset val="100"/>
        <c:noMultiLvlLbl val="0"/>
      </c:catAx>
      <c:valAx>
        <c:axId val="568444208"/>
        <c:scaling>
          <c:orientation val="minMax"/>
          <c:max val="1"/>
        </c:scaling>
        <c:delete val="0"/>
        <c:axPos val="l"/>
        <c:majorGridlines/>
        <c:numFmt formatCode="####.0%" sourceLinked="1"/>
        <c:majorTickMark val="out"/>
        <c:minorTickMark val="none"/>
        <c:tickLblPos val="nextTo"/>
        <c:crossAx val="568447344"/>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Sheet1!$A$16</c:f>
              <c:strCache>
                <c:ptCount val="1"/>
                <c:pt idx="0">
                  <c:v>Germany</c:v>
                </c:pt>
              </c:strCache>
            </c:strRef>
          </c:tx>
          <c:cat>
            <c:numRef>
              <c:f>Sheet1!$N$15:$Q$15</c:f>
              <c:numCache>
                <c:formatCode>General</c:formatCode>
                <c:ptCount val="4"/>
                <c:pt idx="0">
                  <c:v>1985</c:v>
                </c:pt>
                <c:pt idx="1">
                  <c:v>1990</c:v>
                </c:pt>
                <c:pt idx="2">
                  <c:v>1996</c:v>
                </c:pt>
                <c:pt idx="3">
                  <c:v>2006</c:v>
                </c:pt>
              </c:numCache>
            </c:numRef>
          </c:cat>
          <c:val>
            <c:numRef>
              <c:f>Sheet1!$N$16:$Q$16</c:f>
              <c:numCache>
                <c:formatCode>0.00%</c:formatCode>
                <c:ptCount val="4"/>
                <c:pt idx="0">
                  <c:v>0.40100000000000002</c:v>
                </c:pt>
                <c:pt idx="1">
                  <c:v>0.58899999999999997</c:v>
                </c:pt>
                <c:pt idx="2">
                  <c:v>0.55600000000000005</c:v>
                </c:pt>
                <c:pt idx="3">
                  <c:v>0.82399999999999995</c:v>
                </c:pt>
              </c:numCache>
            </c:numRef>
          </c:val>
          <c:smooth val="0"/>
        </c:ser>
        <c:ser>
          <c:idx val="1"/>
          <c:order val="1"/>
          <c:tx>
            <c:strRef>
              <c:f>Sheet1!$A$17</c:f>
              <c:strCache>
                <c:ptCount val="1"/>
                <c:pt idx="0">
                  <c:v>United Kingdom</c:v>
                </c:pt>
              </c:strCache>
            </c:strRef>
          </c:tx>
          <c:cat>
            <c:numRef>
              <c:f>Sheet1!$N$15:$Q$15</c:f>
              <c:numCache>
                <c:formatCode>General</c:formatCode>
                <c:ptCount val="4"/>
                <c:pt idx="0">
                  <c:v>1985</c:v>
                </c:pt>
                <c:pt idx="1">
                  <c:v>1990</c:v>
                </c:pt>
                <c:pt idx="2">
                  <c:v>1996</c:v>
                </c:pt>
                <c:pt idx="3">
                  <c:v>2006</c:v>
                </c:pt>
              </c:numCache>
            </c:numRef>
          </c:cat>
          <c:val>
            <c:numRef>
              <c:f>Sheet1!$N$17:$Q$17</c:f>
              <c:numCache>
                <c:formatCode>0.00%</c:formatCode>
                <c:ptCount val="4"/>
                <c:pt idx="0">
                  <c:v>0.74700000000000022</c:v>
                </c:pt>
                <c:pt idx="1">
                  <c:v>0.79200000000000004</c:v>
                </c:pt>
                <c:pt idx="2">
                  <c:v>0.8450000000000002</c:v>
                </c:pt>
                <c:pt idx="3">
                  <c:v>0.7260000000000002</c:v>
                </c:pt>
              </c:numCache>
            </c:numRef>
          </c:val>
          <c:smooth val="0"/>
        </c:ser>
        <c:ser>
          <c:idx val="2"/>
          <c:order val="2"/>
          <c:tx>
            <c:strRef>
              <c:f>Sheet1!$A$18</c:f>
              <c:strCache>
                <c:ptCount val="1"/>
                <c:pt idx="0">
                  <c:v>Norway</c:v>
                </c:pt>
              </c:strCache>
            </c:strRef>
          </c:tx>
          <c:cat>
            <c:numRef>
              <c:f>Sheet1!$N$15:$Q$15</c:f>
              <c:numCache>
                <c:formatCode>General</c:formatCode>
                <c:ptCount val="4"/>
                <c:pt idx="0">
                  <c:v>1985</c:v>
                </c:pt>
                <c:pt idx="1">
                  <c:v>1990</c:v>
                </c:pt>
                <c:pt idx="2">
                  <c:v>1996</c:v>
                </c:pt>
                <c:pt idx="3">
                  <c:v>2006</c:v>
                </c:pt>
              </c:numCache>
            </c:numRef>
          </c:cat>
          <c:val>
            <c:numRef>
              <c:f>Sheet1!$N$18:$Q$18</c:f>
              <c:numCache>
                <c:formatCode>0.00%</c:formatCode>
                <c:ptCount val="4"/>
                <c:pt idx="1">
                  <c:v>0.55600000000000005</c:v>
                </c:pt>
                <c:pt idx="2">
                  <c:v>0.51</c:v>
                </c:pt>
                <c:pt idx="3">
                  <c:v>0.62200000000000022</c:v>
                </c:pt>
              </c:numCache>
            </c:numRef>
          </c:val>
          <c:smooth val="0"/>
        </c:ser>
        <c:ser>
          <c:idx val="3"/>
          <c:order val="3"/>
          <c:tx>
            <c:strRef>
              <c:f>Sheet1!$A$19</c:f>
              <c:strCache>
                <c:ptCount val="1"/>
                <c:pt idx="0">
                  <c:v>Slovenia</c:v>
                </c:pt>
              </c:strCache>
            </c:strRef>
          </c:tx>
          <c:cat>
            <c:numRef>
              <c:f>Sheet1!$N$15:$Q$15</c:f>
              <c:numCache>
                <c:formatCode>General</c:formatCode>
                <c:ptCount val="4"/>
                <c:pt idx="0">
                  <c:v>1985</c:v>
                </c:pt>
                <c:pt idx="1">
                  <c:v>1990</c:v>
                </c:pt>
                <c:pt idx="2">
                  <c:v>1996</c:v>
                </c:pt>
                <c:pt idx="3">
                  <c:v>2006</c:v>
                </c:pt>
              </c:numCache>
            </c:numRef>
          </c:cat>
          <c:val>
            <c:numRef>
              <c:f>Sheet1!$N$19:$Q$19</c:f>
              <c:numCache>
                <c:formatCode>General</c:formatCode>
                <c:ptCount val="4"/>
                <c:pt idx="2" formatCode="0.00%">
                  <c:v>0.8480000000000002</c:v>
                </c:pt>
                <c:pt idx="3" formatCode="0.00%">
                  <c:v>0.80200000000000005</c:v>
                </c:pt>
              </c:numCache>
            </c:numRef>
          </c:val>
          <c:smooth val="0"/>
        </c:ser>
        <c:ser>
          <c:idx val="4"/>
          <c:order val="4"/>
          <c:tx>
            <c:strRef>
              <c:f>Sheet1!$A$20</c:f>
              <c:strCache>
                <c:ptCount val="1"/>
                <c:pt idx="0">
                  <c:v>Denmark</c:v>
                </c:pt>
              </c:strCache>
            </c:strRef>
          </c:tx>
          <c:cat>
            <c:numRef>
              <c:f>Sheet1!$N$15:$Q$15</c:f>
              <c:numCache>
                <c:formatCode>General</c:formatCode>
                <c:ptCount val="4"/>
                <c:pt idx="0">
                  <c:v>1985</c:v>
                </c:pt>
                <c:pt idx="1">
                  <c:v>1990</c:v>
                </c:pt>
                <c:pt idx="2">
                  <c:v>1996</c:v>
                </c:pt>
                <c:pt idx="3">
                  <c:v>2006</c:v>
                </c:pt>
              </c:numCache>
            </c:numRef>
          </c:cat>
          <c:val>
            <c:numRef>
              <c:f>Sheet1!$N$20:$Q$20</c:f>
              <c:numCache>
                <c:formatCode>General</c:formatCode>
                <c:ptCount val="4"/>
                <c:pt idx="3" formatCode="0.00%">
                  <c:v>0.62200000000000022</c:v>
                </c:pt>
              </c:numCache>
            </c:numRef>
          </c:val>
          <c:smooth val="0"/>
        </c:ser>
        <c:dLbls>
          <c:showLegendKey val="0"/>
          <c:showVal val="0"/>
          <c:showCatName val="0"/>
          <c:showSerName val="0"/>
          <c:showPercent val="0"/>
          <c:showBubbleSize val="0"/>
        </c:dLbls>
        <c:marker val="1"/>
        <c:smooth val="0"/>
        <c:axId val="400850648"/>
        <c:axId val="400856528"/>
      </c:lineChart>
      <c:catAx>
        <c:axId val="400850648"/>
        <c:scaling>
          <c:orientation val="minMax"/>
        </c:scaling>
        <c:delete val="0"/>
        <c:axPos val="b"/>
        <c:numFmt formatCode="General" sourceLinked="1"/>
        <c:majorTickMark val="out"/>
        <c:minorTickMark val="none"/>
        <c:tickLblPos val="nextTo"/>
        <c:crossAx val="400856528"/>
        <c:crosses val="autoZero"/>
        <c:auto val="1"/>
        <c:lblAlgn val="ctr"/>
        <c:lblOffset val="100"/>
        <c:noMultiLvlLbl val="0"/>
      </c:catAx>
      <c:valAx>
        <c:axId val="400856528"/>
        <c:scaling>
          <c:orientation val="minMax"/>
        </c:scaling>
        <c:delete val="0"/>
        <c:axPos val="l"/>
        <c:majorGridlines/>
        <c:numFmt formatCode="0.00%" sourceLinked="1"/>
        <c:majorTickMark val="out"/>
        <c:minorTickMark val="none"/>
        <c:tickLblPos val="nextTo"/>
        <c:crossAx val="400850648"/>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Sheet1!$A$2</c:f>
              <c:strCache>
                <c:ptCount val="1"/>
                <c:pt idx="0">
                  <c:v>Denmark</c:v>
                </c:pt>
              </c:strCache>
            </c:strRef>
          </c:tx>
          <c:marker>
            <c:symbol val="none"/>
          </c:marker>
          <c:cat>
            <c:numRef>
              <c:f>Sheet1!$B$1:$M$1</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Sheet1!$B$2:$M$2</c:f>
              <c:numCache>
                <c:formatCode>General</c:formatCode>
                <c:ptCount val="12"/>
                <c:pt idx="0">
                  <c:v>6</c:v>
                </c:pt>
                <c:pt idx="1">
                  <c:v>6.2</c:v>
                </c:pt>
                <c:pt idx="2">
                  <c:v>6.3</c:v>
                </c:pt>
                <c:pt idx="3">
                  <c:v>6.4</c:v>
                </c:pt>
                <c:pt idx="4">
                  <c:v>6.5</c:v>
                </c:pt>
                <c:pt idx="5">
                  <c:v>6.6</c:v>
                </c:pt>
                <c:pt idx="6">
                  <c:v>6.9</c:v>
                </c:pt>
                <c:pt idx="7">
                  <c:v>7.3</c:v>
                </c:pt>
                <c:pt idx="8">
                  <c:v>7.5</c:v>
                </c:pt>
                <c:pt idx="9">
                  <c:v>7.7</c:v>
                </c:pt>
                <c:pt idx="10">
                  <c:v>7.9</c:v>
                </c:pt>
                <c:pt idx="11">
                  <c:v>8.2000000000000011</c:v>
                </c:pt>
              </c:numCache>
            </c:numRef>
          </c:val>
          <c:smooth val="0"/>
        </c:ser>
        <c:ser>
          <c:idx val="1"/>
          <c:order val="1"/>
          <c:tx>
            <c:strRef>
              <c:f>Sheet1!$A$3</c:f>
              <c:strCache>
                <c:ptCount val="1"/>
                <c:pt idx="0">
                  <c:v>France</c:v>
                </c:pt>
              </c:strCache>
            </c:strRef>
          </c:tx>
          <c:marker>
            <c:symbol val="none"/>
          </c:marker>
          <c:cat>
            <c:numRef>
              <c:f>Sheet1!$B$1:$M$1</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Sheet1!$B$3:$M$3</c:f>
              <c:numCache>
                <c:formatCode>General</c:formatCode>
                <c:ptCount val="12"/>
                <c:pt idx="0">
                  <c:v>10.5</c:v>
                </c:pt>
                <c:pt idx="1">
                  <c:v>10.7</c:v>
                </c:pt>
                <c:pt idx="2">
                  <c:v>10.9</c:v>
                </c:pt>
                <c:pt idx="3">
                  <c:v>11.1</c:v>
                </c:pt>
                <c:pt idx="4">
                  <c:v>11.3</c:v>
                </c:pt>
                <c:pt idx="5">
                  <c:v>11.4</c:v>
                </c:pt>
                <c:pt idx="6">
                  <c:v>11.5</c:v>
                </c:pt>
                <c:pt idx="7">
                  <c:v>11.6</c:v>
                </c:pt>
                <c:pt idx="8">
                  <c:v>11.6</c:v>
                </c:pt>
                <c:pt idx="9">
                  <c:v>11.7</c:v>
                </c:pt>
                <c:pt idx="10">
                  <c:v>11.8</c:v>
                </c:pt>
                <c:pt idx="11">
                  <c:v>11.9</c:v>
                </c:pt>
              </c:numCache>
            </c:numRef>
          </c:val>
          <c:smooth val="0"/>
        </c:ser>
        <c:ser>
          <c:idx val="2"/>
          <c:order val="2"/>
          <c:tx>
            <c:strRef>
              <c:f>Sheet1!$A$4</c:f>
              <c:strCache>
                <c:ptCount val="1"/>
                <c:pt idx="0">
                  <c:v>Germany</c:v>
                </c:pt>
              </c:strCache>
            </c:strRef>
          </c:tx>
          <c:marker>
            <c:symbol val="none"/>
          </c:marker>
          <c:cat>
            <c:numRef>
              <c:f>Sheet1!$B$1:$M$1</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Sheet1!$B$4:$M$4</c:f>
              <c:numCache>
                <c:formatCode>General</c:formatCode>
                <c:ptCount val="12"/>
                <c:pt idx="4">
                  <c:v>12.6</c:v>
                </c:pt>
                <c:pt idx="5">
                  <c:v>12.7</c:v>
                </c:pt>
                <c:pt idx="6">
                  <c:v>12.8</c:v>
                </c:pt>
                <c:pt idx="7">
                  <c:v>12.9</c:v>
                </c:pt>
                <c:pt idx="8">
                  <c:v>12.9</c:v>
                </c:pt>
                <c:pt idx="9">
                  <c:v>13</c:v>
                </c:pt>
                <c:pt idx="10">
                  <c:v>13.1</c:v>
                </c:pt>
                <c:pt idx="11">
                  <c:v>13.3</c:v>
                </c:pt>
              </c:numCache>
            </c:numRef>
          </c:val>
          <c:smooth val="0"/>
        </c:ser>
        <c:ser>
          <c:idx val="3"/>
          <c:order val="3"/>
          <c:tx>
            <c:strRef>
              <c:f>Sheet1!$A$5</c:f>
              <c:strCache>
                <c:ptCount val="1"/>
                <c:pt idx="0">
                  <c:v>Greece</c:v>
                </c:pt>
              </c:strCache>
            </c:strRef>
          </c:tx>
          <c:marker>
            <c:symbol val="none"/>
          </c:marker>
          <c:cat>
            <c:numRef>
              <c:f>Sheet1!$B$1:$M$1</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Sheet1!$B$5:$M$5</c:f>
              <c:numCache>
                <c:formatCode>General</c:formatCode>
                <c:ptCount val="12"/>
                <c:pt idx="0">
                  <c:v>10.3</c:v>
                </c:pt>
                <c:pt idx="9">
                  <c:v>7.4</c:v>
                </c:pt>
                <c:pt idx="10">
                  <c:v>6.7</c:v>
                </c:pt>
                <c:pt idx="11">
                  <c:v>6.6</c:v>
                </c:pt>
              </c:numCache>
            </c:numRef>
          </c:val>
          <c:smooth val="0"/>
        </c:ser>
        <c:ser>
          <c:idx val="4"/>
          <c:order val="4"/>
          <c:tx>
            <c:strRef>
              <c:f>Sheet1!$A$6</c:f>
              <c:strCache>
                <c:ptCount val="1"/>
                <c:pt idx="0">
                  <c:v>Italy</c:v>
                </c:pt>
              </c:strCache>
            </c:strRef>
          </c:tx>
          <c:marker>
            <c:symbol val="none"/>
          </c:marker>
          <c:cat>
            <c:numRef>
              <c:f>Sheet1!$B$1:$M$1</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Sheet1!$B$6:$M$6</c:f>
              <c:numCache>
                <c:formatCode>General</c:formatCode>
                <c:ptCount val="12"/>
                <c:pt idx="7">
                  <c:v>7.4</c:v>
                </c:pt>
                <c:pt idx="8">
                  <c:v>8</c:v>
                </c:pt>
                <c:pt idx="9">
                  <c:v>8.9</c:v>
                </c:pt>
                <c:pt idx="10">
                  <c:v>9</c:v>
                </c:pt>
                <c:pt idx="11">
                  <c:v>9.4</c:v>
                </c:pt>
              </c:numCache>
            </c:numRef>
          </c:val>
          <c:smooth val="0"/>
        </c:ser>
        <c:ser>
          <c:idx val="5"/>
          <c:order val="5"/>
          <c:tx>
            <c:strRef>
              <c:f>Sheet1!$A$7</c:f>
              <c:strCache>
                <c:ptCount val="1"/>
                <c:pt idx="0">
                  <c:v>Norway</c:v>
                </c:pt>
              </c:strCache>
            </c:strRef>
          </c:tx>
          <c:marker>
            <c:symbol val="none"/>
          </c:marker>
          <c:cat>
            <c:numRef>
              <c:f>Sheet1!$B$1:$M$1</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Sheet1!$B$7:$M$7</c:f>
              <c:numCache>
                <c:formatCode>General</c:formatCode>
                <c:ptCount val="12"/>
                <c:pt idx="0">
                  <c:v>7</c:v>
                </c:pt>
                <c:pt idx="1">
                  <c:v>7.4</c:v>
                </c:pt>
                <c:pt idx="2">
                  <c:v>7.6</c:v>
                </c:pt>
                <c:pt idx="3">
                  <c:v>7.9</c:v>
                </c:pt>
                <c:pt idx="4">
                  <c:v>8.2000000000000011</c:v>
                </c:pt>
                <c:pt idx="5">
                  <c:v>8.7000000000000011</c:v>
                </c:pt>
                <c:pt idx="6">
                  <c:v>9.5</c:v>
                </c:pt>
                <c:pt idx="7">
                  <c:v>10.3</c:v>
                </c:pt>
                <c:pt idx="8">
                  <c:v>10.9</c:v>
                </c:pt>
                <c:pt idx="9">
                  <c:v>11.6</c:v>
                </c:pt>
                <c:pt idx="10">
                  <c:v>12.4</c:v>
                </c:pt>
                <c:pt idx="11">
                  <c:v>13.2</c:v>
                </c:pt>
              </c:numCache>
            </c:numRef>
          </c:val>
          <c:smooth val="0"/>
        </c:ser>
        <c:ser>
          <c:idx val="6"/>
          <c:order val="6"/>
          <c:tx>
            <c:strRef>
              <c:f>Sheet1!$A$8</c:f>
              <c:strCache>
                <c:ptCount val="1"/>
                <c:pt idx="0">
                  <c:v>Slovenia</c:v>
                </c:pt>
              </c:strCache>
            </c:strRef>
          </c:tx>
          <c:marker>
            <c:symbol val="none"/>
          </c:marker>
          <c:cat>
            <c:numRef>
              <c:f>Sheet1!$B$1:$M$1</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Sheet1!$B$8:$M$8</c:f>
              <c:numCache>
                <c:formatCode>General</c:formatCode>
                <c:ptCount val="12"/>
                <c:pt idx="1">
                  <c:v>8.5</c:v>
                </c:pt>
                <c:pt idx="9">
                  <c:v>11.2</c:v>
                </c:pt>
                <c:pt idx="10">
                  <c:v>11.2</c:v>
                </c:pt>
                <c:pt idx="11">
                  <c:v>14.6</c:v>
                </c:pt>
              </c:numCache>
            </c:numRef>
          </c:val>
          <c:smooth val="0"/>
        </c:ser>
        <c:ser>
          <c:idx val="7"/>
          <c:order val="7"/>
          <c:tx>
            <c:strRef>
              <c:f>Sheet1!$A$9</c:f>
              <c:strCache>
                <c:ptCount val="1"/>
                <c:pt idx="0">
                  <c:v>Sweden</c:v>
                </c:pt>
              </c:strCache>
            </c:strRef>
          </c:tx>
          <c:marker>
            <c:symbol val="none"/>
          </c:marker>
          <c:cat>
            <c:numRef>
              <c:f>Sheet1!$B$1:$M$1</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Sheet1!$B$9:$M$9</c:f>
              <c:numCache>
                <c:formatCode>General</c:formatCode>
                <c:ptCount val="12"/>
                <c:pt idx="0">
                  <c:v>11.6</c:v>
                </c:pt>
                <c:pt idx="1">
                  <c:v>11.8</c:v>
                </c:pt>
                <c:pt idx="2">
                  <c:v>12</c:v>
                </c:pt>
                <c:pt idx="3">
                  <c:v>12.2</c:v>
                </c:pt>
                <c:pt idx="4">
                  <c:v>12.5</c:v>
                </c:pt>
                <c:pt idx="5">
                  <c:v>12.9</c:v>
                </c:pt>
                <c:pt idx="6">
                  <c:v>13.4</c:v>
                </c:pt>
                <c:pt idx="7">
                  <c:v>13.9</c:v>
                </c:pt>
                <c:pt idx="8">
                  <c:v>14.4</c:v>
                </c:pt>
                <c:pt idx="9">
                  <c:v>14.8</c:v>
                </c:pt>
                <c:pt idx="10">
                  <c:v>15.1</c:v>
                </c:pt>
                <c:pt idx="11">
                  <c:v>15.5</c:v>
                </c:pt>
              </c:numCache>
            </c:numRef>
          </c:val>
          <c:smooth val="0"/>
        </c:ser>
        <c:ser>
          <c:idx val="8"/>
          <c:order val="8"/>
          <c:tx>
            <c:strRef>
              <c:f>Sheet1!$A$10</c:f>
              <c:strCache>
                <c:ptCount val="1"/>
                <c:pt idx="0">
                  <c:v>United Kingdom</c:v>
                </c:pt>
              </c:strCache>
            </c:strRef>
          </c:tx>
          <c:marker>
            <c:symbol val="none"/>
          </c:marker>
          <c:cat>
            <c:numRef>
              <c:f>Sheet1!$B$1:$M$1</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Sheet1!$B$10:$M$10</c:f>
              <c:numCache>
                <c:formatCode>General</c:formatCode>
                <c:ptCount val="12"/>
                <c:pt idx="0">
                  <c:v>8.2000000000000011</c:v>
                </c:pt>
                <c:pt idx="1">
                  <c:v>8.4</c:v>
                </c:pt>
                <c:pt idx="2">
                  <c:v>8.6</c:v>
                </c:pt>
                <c:pt idx="3">
                  <c:v>8.9</c:v>
                </c:pt>
                <c:pt idx="4">
                  <c:v>9.4</c:v>
                </c:pt>
                <c:pt idx="5">
                  <c:v>9.6</c:v>
                </c:pt>
                <c:pt idx="6">
                  <c:v>10.3</c:v>
                </c:pt>
                <c:pt idx="7">
                  <c:v>11</c:v>
                </c:pt>
                <c:pt idx="8">
                  <c:v>11.3</c:v>
                </c:pt>
                <c:pt idx="9">
                  <c:v>11.5</c:v>
                </c:pt>
                <c:pt idx="10">
                  <c:v>11.7</c:v>
                </c:pt>
                <c:pt idx="11">
                  <c:v>11.9</c:v>
                </c:pt>
              </c:numCache>
            </c:numRef>
          </c:val>
          <c:smooth val="0"/>
        </c:ser>
        <c:dLbls>
          <c:showLegendKey val="0"/>
          <c:showVal val="0"/>
          <c:showCatName val="0"/>
          <c:showSerName val="0"/>
          <c:showPercent val="0"/>
          <c:showBubbleSize val="0"/>
        </c:dLbls>
        <c:smooth val="0"/>
        <c:axId val="389288200"/>
        <c:axId val="389288592"/>
      </c:lineChart>
      <c:catAx>
        <c:axId val="389288200"/>
        <c:scaling>
          <c:orientation val="minMax"/>
        </c:scaling>
        <c:delete val="0"/>
        <c:axPos val="b"/>
        <c:numFmt formatCode="General" sourceLinked="1"/>
        <c:majorTickMark val="out"/>
        <c:minorTickMark val="none"/>
        <c:tickLblPos val="nextTo"/>
        <c:crossAx val="389288592"/>
        <c:crosses val="autoZero"/>
        <c:auto val="1"/>
        <c:lblAlgn val="ctr"/>
        <c:lblOffset val="100"/>
        <c:noMultiLvlLbl val="0"/>
      </c:catAx>
      <c:valAx>
        <c:axId val="389288592"/>
        <c:scaling>
          <c:orientation val="minMax"/>
        </c:scaling>
        <c:delete val="0"/>
        <c:axPos val="l"/>
        <c:majorGridlines/>
        <c:numFmt formatCode="General" sourceLinked="1"/>
        <c:majorTickMark val="out"/>
        <c:minorTickMark val="none"/>
        <c:tickLblPos val="nextTo"/>
        <c:crossAx val="389288200"/>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Sheet1!$A$6</c:f>
              <c:strCache>
                <c:ptCount val="1"/>
                <c:pt idx="0">
                  <c:v>Germany</c:v>
                </c:pt>
              </c:strCache>
            </c:strRef>
          </c:tx>
          <c:invertIfNegative val="0"/>
          <c:cat>
            <c:strRef>
              <c:f>Sheet1!$B$4:$F$5</c:f>
              <c:strCache>
                <c:ptCount val="5"/>
                <c:pt idx="0">
                  <c:v>Immediately on arrival</c:v>
                </c:pt>
                <c:pt idx="1">
                  <c:v>After a year, whether or not have worked</c:v>
                </c:pt>
                <c:pt idx="2">
                  <c:v>After worked and paid taxes at least a year</c:v>
                </c:pt>
                <c:pt idx="3">
                  <c:v>Once they have become a citizen</c:v>
                </c:pt>
                <c:pt idx="4">
                  <c:v>They should never get the same rights</c:v>
                </c:pt>
              </c:strCache>
            </c:strRef>
          </c:cat>
          <c:val>
            <c:numRef>
              <c:f>Sheet1!$B$6:$F$6</c:f>
              <c:numCache>
                <c:formatCode>###0.0%</c:formatCode>
                <c:ptCount val="5"/>
                <c:pt idx="0">
                  <c:v>8.8191330343796781E-2</c:v>
                </c:pt>
                <c:pt idx="1">
                  <c:v>0.11808669656203293</c:v>
                </c:pt>
                <c:pt idx="2">
                  <c:v>0.4260089686098657</c:v>
                </c:pt>
                <c:pt idx="3">
                  <c:v>0.29895366218236191</c:v>
                </c:pt>
                <c:pt idx="4">
                  <c:v>6.875934230194318E-2</c:v>
                </c:pt>
              </c:numCache>
            </c:numRef>
          </c:val>
        </c:ser>
        <c:ser>
          <c:idx val="1"/>
          <c:order val="1"/>
          <c:tx>
            <c:strRef>
              <c:f>Sheet1!$A$7</c:f>
              <c:strCache>
                <c:ptCount val="1"/>
                <c:pt idx="0">
                  <c:v>Denmark</c:v>
                </c:pt>
              </c:strCache>
            </c:strRef>
          </c:tx>
          <c:invertIfNegative val="0"/>
          <c:cat>
            <c:strRef>
              <c:f>Sheet1!$B$4:$F$5</c:f>
              <c:strCache>
                <c:ptCount val="5"/>
                <c:pt idx="0">
                  <c:v>Immediately on arrival</c:v>
                </c:pt>
                <c:pt idx="1">
                  <c:v>After a year, whether or not have worked</c:v>
                </c:pt>
                <c:pt idx="2">
                  <c:v>After worked and paid taxes at least a year</c:v>
                </c:pt>
                <c:pt idx="3">
                  <c:v>Once they have become a citizen</c:v>
                </c:pt>
                <c:pt idx="4">
                  <c:v>They should never get the same rights</c:v>
                </c:pt>
              </c:strCache>
            </c:strRef>
          </c:cat>
          <c:val>
            <c:numRef>
              <c:f>Sheet1!$B$7:$F$7</c:f>
              <c:numCache>
                <c:formatCode>###0.0%</c:formatCode>
                <c:ptCount val="5"/>
                <c:pt idx="0">
                  <c:v>0.14038461538461533</c:v>
                </c:pt>
                <c:pt idx="1">
                  <c:v>0.15576923076923094</c:v>
                </c:pt>
                <c:pt idx="2">
                  <c:v>0.31923076923076937</c:v>
                </c:pt>
                <c:pt idx="3">
                  <c:v>0.36282051282051297</c:v>
                </c:pt>
                <c:pt idx="4">
                  <c:v>2.1794871794871794E-2</c:v>
                </c:pt>
              </c:numCache>
            </c:numRef>
          </c:val>
        </c:ser>
        <c:ser>
          <c:idx val="2"/>
          <c:order val="2"/>
          <c:tx>
            <c:strRef>
              <c:f>Sheet1!$A$8</c:f>
              <c:strCache>
                <c:ptCount val="1"/>
                <c:pt idx="0">
                  <c:v>France</c:v>
                </c:pt>
              </c:strCache>
            </c:strRef>
          </c:tx>
          <c:invertIfNegative val="0"/>
          <c:cat>
            <c:strRef>
              <c:f>Sheet1!$B$4:$F$5</c:f>
              <c:strCache>
                <c:ptCount val="5"/>
                <c:pt idx="0">
                  <c:v>Immediately on arrival</c:v>
                </c:pt>
                <c:pt idx="1">
                  <c:v>After a year, whether or not have worked</c:v>
                </c:pt>
                <c:pt idx="2">
                  <c:v>After worked and paid taxes at least a year</c:v>
                </c:pt>
                <c:pt idx="3">
                  <c:v>Once they have become a citizen</c:v>
                </c:pt>
                <c:pt idx="4">
                  <c:v>They should never get the same rights</c:v>
                </c:pt>
              </c:strCache>
            </c:strRef>
          </c:cat>
          <c:val>
            <c:numRef>
              <c:f>Sheet1!$B$8:$F$8</c:f>
              <c:numCache>
                <c:formatCode>###0.0%</c:formatCode>
                <c:ptCount val="5"/>
                <c:pt idx="0">
                  <c:v>0.12047012732615089</c:v>
                </c:pt>
                <c:pt idx="1">
                  <c:v>0.10626836434867776</c:v>
                </c:pt>
                <c:pt idx="2">
                  <c:v>0.46816846229187087</c:v>
                </c:pt>
                <c:pt idx="3">
                  <c:v>0.25612144955925575</c:v>
                </c:pt>
                <c:pt idx="4">
                  <c:v>4.8971596474045052E-2</c:v>
                </c:pt>
              </c:numCache>
            </c:numRef>
          </c:val>
        </c:ser>
        <c:ser>
          <c:idx val="3"/>
          <c:order val="3"/>
          <c:tx>
            <c:strRef>
              <c:f>Sheet1!$A$9</c:f>
              <c:strCache>
                <c:ptCount val="1"/>
                <c:pt idx="0">
                  <c:v>United Kingdom</c:v>
                </c:pt>
              </c:strCache>
            </c:strRef>
          </c:tx>
          <c:invertIfNegative val="0"/>
          <c:cat>
            <c:strRef>
              <c:f>Sheet1!$B$4:$F$5</c:f>
              <c:strCache>
                <c:ptCount val="5"/>
                <c:pt idx="0">
                  <c:v>Immediately on arrival</c:v>
                </c:pt>
                <c:pt idx="1">
                  <c:v>After a year, whether or not have worked</c:v>
                </c:pt>
                <c:pt idx="2">
                  <c:v>After worked and paid taxes at least a year</c:v>
                </c:pt>
                <c:pt idx="3">
                  <c:v>Once they have become a citizen</c:v>
                </c:pt>
                <c:pt idx="4">
                  <c:v>They should never get the same rights</c:v>
                </c:pt>
              </c:strCache>
            </c:strRef>
          </c:cat>
          <c:val>
            <c:numRef>
              <c:f>Sheet1!$B$9:$F$9</c:f>
              <c:numCache>
                <c:formatCode>###0.0%</c:formatCode>
                <c:ptCount val="5"/>
                <c:pt idx="0">
                  <c:v>5.7217165149544863E-2</c:v>
                </c:pt>
                <c:pt idx="1">
                  <c:v>5.4616384915474672E-2</c:v>
                </c:pt>
                <c:pt idx="2">
                  <c:v>0.48461205028175131</c:v>
                </c:pt>
                <c:pt idx="3">
                  <c:v>0.3146944083224969</c:v>
                </c:pt>
                <c:pt idx="4">
                  <c:v>8.8859991330732621E-2</c:v>
                </c:pt>
              </c:numCache>
            </c:numRef>
          </c:val>
        </c:ser>
        <c:ser>
          <c:idx val="4"/>
          <c:order val="4"/>
          <c:tx>
            <c:strRef>
              <c:f>Sheet1!$A$10</c:f>
              <c:strCache>
                <c:ptCount val="1"/>
                <c:pt idx="0">
                  <c:v>Greece</c:v>
                </c:pt>
              </c:strCache>
            </c:strRef>
          </c:tx>
          <c:invertIfNegative val="0"/>
          <c:cat>
            <c:strRef>
              <c:f>Sheet1!$B$4:$F$5</c:f>
              <c:strCache>
                <c:ptCount val="5"/>
                <c:pt idx="0">
                  <c:v>Immediately on arrival</c:v>
                </c:pt>
                <c:pt idx="1">
                  <c:v>After a year, whether or not have worked</c:v>
                </c:pt>
                <c:pt idx="2">
                  <c:v>After worked and paid taxes at least a year</c:v>
                </c:pt>
                <c:pt idx="3">
                  <c:v>Once they have become a citizen</c:v>
                </c:pt>
                <c:pt idx="4">
                  <c:v>They should never get the same rights</c:v>
                </c:pt>
              </c:strCache>
            </c:strRef>
          </c:cat>
          <c:val>
            <c:numRef>
              <c:f>Sheet1!$B$10:$F$10</c:f>
              <c:numCache>
                <c:formatCode>###0.0%</c:formatCode>
                <c:ptCount val="5"/>
                <c:pt idx="0">
                  <c:v>8.7349397590361463E-2</c:v>
                </c:pt>
                <c:pt idx="1">
                  <c:v>4.3674698795180711E-2</c:v>
                </c:pt>
                <c:pt idx="2">
                  <c:v>0.33634538152610438</c:v>
                </c:pt>
                <c:pt idx="3">
                  <c:v>0.33935742971887572</c:v>
                </c:pt>
                <c:pt idx="4">
                  <c:v>0.1932730923694779</c:v>
                </c:pt>
              </c:numCache>
            </c:numRef>
          </c:val>
        </c:ser>
        <c:ser>
          <c:idx val="5"/>
          <c:order val="5"/>
          <c:tx>
            <c:strRef>
              <c:f>Sheet1!$A$11</c:f>
              <c:strCache>
                <c:ptCount val="1"/>
                <c:pt idx="0">
                  <c:v>Norway</c:v>
                </c:pt>
              </c:strCache>
            </c:strRef>
          </c:tx>
          <c:invertIfNegative val="0"/>
          <c:cat>
            <c:strRef>
              <c:f>Sheet1!$B$4:$F$5</c:f>
              <c:strCache>
                <c:ptCount val="5"/>
                <c:pt idx="0">
                  <c:v>Immediately on arrival</c:v>
                </c:pt>
                <c:pt idx="1">
                  <c:v>After a year, whether or not have worked</c:v>
                </c:pt>
                <c:pt idx="2">
                  <c:v>After worked and paid taxes at least a year</c:v>
                </c:pt>
                <c:pt idx="3">
                  <c:v>Once they have become a citizen</c:v>
                </c:pt>
                <c:pt idx="4">
                  <c:v>They should never get the same rights</c:v>
                </c:pt>
              </c:strCache>
            </c:strRef>
          </c:cat>
          <c:val>
            <c:numRef>
              <c:f>Sheet1!$B$11:$F$11</c:f>
              <c:numCache>
                <c:formatCode>###0.0%</c:formatCode>
                <c:ptCount val="5"/>
                <c:pt idx="0">
                  <c:v>0.13412228796844181</c:v>
                </c:pt>
                <c:pt idx="1">
                  <c:v>0.12886259040105189</c:v>
                </c:pt>
                <c:pt idx="2">
                  <c:v>0.34451019066403682</c:v>
                </c:pt>
                <c:pt idx="3">
                  <c:v>0.37278106508875747</c:v>
                </c:pt>
                <c:pt idx="4">
                  <c:v>1.9723865877712046E-2</c:v>
                </c:pt>
              </c:numCache>
            </c:numRef>
          </c:val>
        </c:ser>
        <c:ser>
          <c:idx val="6"/>
          <c:order val="6"/>
          <c:tx>
            <c:strRef>
              <c:f>Sheet1!$A$12</c:f>
              <c:strCache>
                <c:ptCount val="1"/>
                <c:pt idx="0">
                  <c:v>Sweden</c:v>
                </c:pt>
              </c:strCache>
            </c:strRef>
          </c:tx>
          <c:invertIfNegative val="0"/>
          <c:cat>
            <c:strRef>
              <c:f>Sheet1!$B$4:$F$5</c:f>
              <c:strCache>
                <c:ptCount val="5"/>
                <c:pt idx="0">
                  <c:v>Immediately on arrival</c:v>
                </c:pt>
                <c:pt idx="1">
                  <c:v>After a year, whether or not have worked</c:v>
                </c:pt>
                <c:pt idx="2">
                  <c:v>After worked and paid taxes at least a year</c:v>
                </c:pt>
                <c:pt idx="3">
                  <c:v>Once they have become a citizen</c:v>
                </c:pt>
                <c:pt idx="4">
                  <c:v>They should never get the same rights</c:v>
                </c:pt>
              </c:strCache>
            </c:strRef>
          </c:cat>
          <c:val>
            <c:numRef>
              <c:f>Sheet1!$B$12:$F$12</c:f>
              <c:numCache>
                <c:formatCode>###0.0%</c:formatCode>
                <c:ptCount val="5"/>
                <c:pt idx="0">
                  <c:v>0.19548872180451127</c:v>
                </c:pt>
                <c:pt idx="1">
                  <c:v>0.16136495083863506</c:v>
                </c:pt>
                <c:pt idx="2">
                  <c:v>0.31868131868131866</c:v>
                </c:pt>
                <c:pt idx="3">
                  <c:v>0.31694621168305392</c:v>
                </c:pt>
                <c:pt idx="4" formatCode="####.0%">
                  <c:v>7.5187969924812061E-3</c:v>
                </c:pt>
              </c:numCache>
            </c:numRef>
          </c:val>
        </c:ser>
        <c:ser>
          <c:idx val="7"/>
          <c:order val="7"/>
          <c:tx>
            <c:strRef>
              <c:f>Sheet1!$A$13</c:f>
              <c:strCache>
                <c:ptCount val="1"/>
                <c:pt idx="0">
                  <c:v>Slovenia</c:v>
                </c:pt>
              </c:strCache>
            </c:strRef>
          </c:tx>
          <c:invertIfNegative val="0"/>
          <c:cat>
            <c:strRef>
              <c:f>Sheet1!$B$4:$F$5</c:f>
              <c:strCache>
                <c:ptCount val="5"/>
                <c:pt idx="0">
                  <c:v>Immediately on arrival</c:v>
                </c:pt>
                <c:pt idx="1">
                  <c:v>After a year, whether or not have worked</c:v>
                </c:pt>
                <c:pt idx="2">
                  <c:v>After worked and paid taxes at least a year</c:v>
                </c:pt>
                <c:pt idx="3">
                  <c:v>Once they have become a citizen</c:v>
                </c:pt>
                <c:pt idx="4">
                  <c:v>They should never get the same rights</c:v>
                </c:pt>
              </c:strCache>
            </c:strRef>
          </c:cat>
          <c:val>
            <c:numRef>
              <c:f>Sheet1!$B$13:$F$13</c:f>
              <c:numCache>
                <c:formatCode>###0.0%</c:formatCode>
                <c:ptCount val="5"/>
                <c:pt idx="0">
                  <c:v>4.1362530413625337E-2</c:v>
                </c:pt>
                <c:pt idx="1">
                  <c:v>4.947283049472833E-2</c:v>
                </c:pt>
                <c:pt idx="2">
                  <c:v>0.32684509326845118</c:v>
                </c:pt>
                <c:pt idx="3">
                  <c:v>0.5141930251419301</c:v>
                </c:pt>
                <c:pt idx="4">
                  <c:v>6.8126520681265207E-2</c:v>
                </c:pt>
              </c:numCache>
            </c:numRef>
          </c:val>
        </c:ser>
        <c:dLbls>
          <c:showLegendKey val="0"/>
          <c:showVal val="0"/>
          <c:showCatName val="0"/>
          <c:showSerName val="0"/>
          <c:showPercent val="0"/>
          <c:showBubbleSize val="0"/>
        </c:dLbls>
        <c:gapWidth val="150"/>
        <c:axId val="389291336"/>
        <c:axId val="389292512"/>
      </c:barChart>
      <c:catAx>
        <c:axId val="389291336"/>
        <c:scaling>
          <c:orientation val="minMax"/>
        </c:scaling>
        <c:delete val="0"/>
        <c:axPos val="b"/>
        <c:numFmt formatCode="General" sourceLinked="0"/>
        <c:majorTickMark val="out"/>
        <c:minorTickMark val="none"/>
        <c:tickLblPos val="nextTo"/>
        <c:crossAx val="389292512"/>
        <c:crosses val="autoZero"/>
        <c:auto val="1"/>
        <c:lblAlgn val="ctr"/>
        <c:lblOffset val="100"/>
        <c:noMultiLvlLbl val="0"/>
      </c:catAx>
      <c:valAx>
        <c:axId val="389292512"/>
        <c:scaling>
          <c:orientation val="minMax"/>
        </c:scaling>
        <c:delete val="0"/>
        <c:axPos val="l"/>
        <c:majorGridlines/>
        <c:numFmt formatCode="###0.0%" sourceLinked="1"/>
        <c:majorTickMark val="out"/>
        <c:minorTickMark val="none"/>
        <c:tickLblPos val="nextTo"/>
        <c:crossAx val="389291336"/>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Sheet1!$B$5:$B$6</c:f>
              <c:strCache>
                <c:ptCount val="1"/>
                <c:pt idx="0">
                  <c:v>Social benefits/services encourage people other countries to come live here Agree strongly</c:v>
                </c:pt>
              </c:strCache>
            </c:strRef>
          </c:tx>
          <c:invertIfNegative val="0"/>
          <c:cat>
            <c:strRef>
              <c:f>Sheet1!$A$7:$A$14</c:f>
              <c:strCache>
                <c:ptCount val="8"/>
                <c:pt idx="0">
                  <c:v>Germany</c:v>
                </c:pt>
                <c:pt idx="1">
                  <c:v>Denmark</c:v>
                </c:pt>
                <c:pt idx="2">
                  <c:v>France</c:v>
                </c:pt>
                <c:pt idx="3">
                  <c:v>United Kingdom</c:v>
                </c:pt>
                <c:pt idx="4">
                  <c:v>Greece</c:v>
                </c:pt>
                <c:pt idx="5">
                  <c:v>Norway</c:v>
                </c:pt>
                <c:pt idx="6">
                  <c:v>Sweden</c:v>
                </c:pt>
                <c:pt idx="7">
                  <c:v>Slovenia</c:v>
                </c:pt>
              </c:strCache>
            </c:strRef>
          </c:cat>
          <c:val>
            <c:numRef>
              <c:f>Sheet1!$B$7:$B$14</c:f>
            </c:numRef>
          </c:val>
        </c:ser>
        <c:ser>
          <c:idx val="1"/>
          <c:order val="1"/>
          <c:tx>
            <c:strRef>
              <c:f>Sheet1!$C$5:$C$6</c:f>
              <c:strCache>
                <c:ptCount val="1"/>
                <c:pt idx="0">
                  <c:v>Social benefits/services encourage people other countries to come live here Agree</c:v>
                </c:pt>
              </c:strCache>
            </c:strRef>
          </c:tx>
          <c:invertIfNegative val="0"/>
          <c:cat>
            <c:strRef>
              <c:f>Sheet1!$A$7:$A$14</c:f>
              <c:strCache>
                <c:ptCount val="8"/>
                <c:pt idx="0">
                  <c:v>Germany</c:v>
                </c:pt>
                <c:pt idx="1">
                  <c:v>Denmark</c:v>
                </c:pt>
                <c:pt idx="2">
                  <c:v>France</c:v>
                </c:pt>
                <c:pt idx="3">
                  <c:v>United Kingdom</c:v>
                </c:pt>
                <c:pt idx="4">
                  <c:v>Greece</c:v>
                </c:pt>
                <c:pt idx="5">
                  <c:v>Norway</c:v>
                </c:pt>
                <c:pt idx="6">
                  <c:v>Sweden</c:v>
                </c:pt>
                <c:pt idx="7">
                  <c:v>Slovenia</c:v>
                </c:pt>
              </c:strCache>
            </c:strRef>
          </c:cat>
          <c:val>
            <c:numRef>
              <c:f>Sheet1!$C$7:$C$14</c:f>
            </c:numRef>
          </c:val>
        </c:ser>
        <c:ser>
          <c:idx val="2"/>
          <c:order val="2"/>
          <c:tx>
            <c:strRef>
              <c:f>Sheet1!$D$5:$D$6</c:f>
              <c:strCache>
                <c:ptCount val="1"/>
                <c:pt idx="0">
                  <c:v>Social benefits/services encourage people other countries to come live here Neither agree nor disagree</c:v>
                </c:pt>
              </c:strCache>
            </c:strRef>
          </c:tx>
          <c:invertIfNegative val="0"/>
          <c:cat>
            <c:strRef>
              <c:f>Sheet1!$A$7:$A$14</c:f>
              <c:strCache>
                <c:ptCount val="8"/>
                <c:pt idx="0">
                  <c:v>Germany</c:v>
                </c:pt>
                <c:pt idx="1">
                  <c:v>Denmark</c:v>
                </c:pt>
                <c:pt idx="2">
                  <c:v>France</c:v>
                </c:pt>
                <c:pt idx="3">
                  <c:v>United Kingdom</c:v>
                </c:pt>
                <c:pt idx="4">
                  <c:v>Greece</c:v>
                </c:pt>
                <c:pt idx="5">
                  <c:v>Norway</c:v>
                </c:pt>
                <c:pt idx="6">
                  <c:v>Sweden</c:v>
                </c:pt>
                <c:pt idx="7">
                  <c:v>Slovenia</c:v>
                </c:pt>
              </c:strCache>
            </c:strRef>
          </c:cat>
          <c:val>
            <c:numRef>
              <c:f>Sheet1!$D$7:$D$14</c:f>
            </c:numRef>
          </c:val>
        </c:ser>
        <c:ser>
          <c:idx val="3"/>
          <c:order val="3"/>
          <c:tx>
            <c:strRef>
              <c:f>Sheet1!$E$5:$E$6</c:f>
              <c:strCache>
                <c:ptCount val="1"/>
                <c:pt idx="0">
                  <c:v>Social benefits/services encourage people other countries to come live here Disagree</c:v>
                </c:pt>
              </c:strCache>
            </c:strRef>
          </c:tx>
          <c:invertIfNegative val="0"/>
          <c:cat>
            <c:strRef>
              <c:f>Sheet1!$A$7:$A$14</c:f>
              <c:strCache>
                <c:ptCount val="8"/>
                <c:pt idx="0">
                  <c:v>Germany</c:v>
                </c:pt>
                <c:pt idx="1">
                  <c:v>Denmark</c:v>
                </c:pt>
                <c:pt idx="2">
                  <c:v>France</c:v>
                </c:pt>
                <c:pt idx="3">
                  <c:v>United Kingdom</c:v>
                </c:pt>
                <c:pt idx="4">
                  <c:v>Greece</c:v>
                </c:pt>
                <c:pt idx="5">
                  <c:v>Norway</c:v>
                </c:pt>
                <c:pt idx="6">
                  <c:v>Sweden</c:v>
                </c:pt>
                <c:pt idx="7">
                  <c:v>Slovenia</c:v>
                </c:pt>
              </c:strCache>
            </c:strRef>
          </c:cat>
          <c:val>
            <c:numRef>
              <c:f>Sheet1!$E$7:$E$14</c:f>
            </c:numRef>
          </c:val>
        </c:ser>
        <c:ser>
          <c:idx val="4"/>
          <c:order val="4"/>
          <c:tx>
            <c:strRef>
              <c:f>Sheet1!$F$5:$F$6</c:f>
              <c:strCache>
                <c:ptCount val="1"/>
                <c:pt idx="0">
                  <c:v>Social benefits/services encourage people other countries to come live here Disagree strongly</c:v>
                </c:pt>
              </c:strCache>
            </c:strRef>
          </c:tx>
          <c:invertIfNegative val="0"/>
          <c:cat>
            <c:strRef>
              <c:f>Sheet1!$A$7:$A$14</c:f>
              <c:strCache>
                <c:ptCount val="8"/>
                <c:pt idx="0">
                  <c:v>Germany</c:v>
                </c:pt>
                <c:pt idx="1">
                  <c:v>Denmark</c:v>
                </c:pt>
                <c:pt idx="2">
                  <c:v>France</c:v>
                </c:pt>
                <c:pt idx="3">
                  <c:v>United Kingdom</c:v>
                </c:pt>
                <c:pt idx="4">
                  <c:v>Greece</c:v>
                </c:pt>
                <c:pt idx="5">
                  <c:v>Norway</c:v>
                </c:pt>
                <c:pt idx="6">
                  <c:v>Sweden</c:v>
                </c:pt>
                <c:pt idx="7">
                  <c:v>Slovenia</c:v>
                </c:pt>
              </c:strCache>
            </c:strRef>
          </c:cat>
          <c:val>
            <c:numRef>
              <c:f>Sheet1!$F$7:$F$14</c:f>
            </c:numRef>
          </c:val>
        </c:ser>
        <c:ser>
          <c:idx val="5"/>
          <c:order val="5"/>
          <c:tx>
            <c:strRef>
              <c:f>Sheet1!$G$5:$G$6</c:f>
              <c:strCache>
                <c:ptCount val="1"/>
                <c:pt idx="0">
                  <c:v>Total</c:v>
                </c:pt>
              </c:strCache>
            </c:strRef>
          </c:tx>
          <c:invertIfNegative val="0"/>
          <c:cat>
            <c:strRef>
              <c:f>Sheet1!$A$7:$A$14</c:f>
              <c:strCache>
                <c:ptCount val="8"/>
                <c:pt idx="0">
                  <c:v>Germany</c:v>
                </c:pt>
                <c:pt idx="1">
                  <c:v>Denmark</c:v>
                </c:pt>
                <c:pt idx="2">
                  <c:v>France</c:v>
                </c:pt>
                <c:pt idx="3">
                  <c:v>United Kingdom</c:v>
                </c:pt>
                <c:pt idx="4">
                  <c:v>Greece</c:v>
                </c:pt>
                <c:pt idx="5">
                  <c:v>Norway</c:v>
                </c:pt>
                <c:pt idx="6">
                  <c:v>Sweden</c:v>
                </c:pt>
                <c:pt idx="7">
                  <c:v>Slovenia</c:v>
                </c:pt>
              </c:strCache>
            </c:strRef>
          </c:cat>
          <c:val>
            <c:numRef>
              <c:f>Sheet1!$G$7:$G$14</c:f>
            </c:numRef>
          </c:val>
        </c:ser>
        <c:ser>
          <c:idx val="6"/>
          <c:order val="6"/>
          <c:tx>
            <c:strRef>
              <c:f>Sheet1!$H$5:$H$6</c:f>
              <c:strCache>
                <c:ptCount val="1"/>
                <c:pt idx="0">
                  <c:v>Total</c:v>
                </c:pt>
              </c:strCache>
            </c:strRef>
          </c:tx>
          <c:invertIfNegative val="0"/>
          <c:cat>
            <c:strRef>
              <c:f>Sheet1!$A$7:$A$14</c:f>
              <c:strCache>
                <c:ptCount val="8"/>
                <c:pt idx="0">
                  <c:v>Germany</c:v>
                </c:pt>
                <c:pt idx="1">
                  <c:v>Denmark</c:v>
                </c:pt>
                <c:pt idx="2">
                  <c:v>France</c:v>
                </c:pt>
                <c:pt idx="3">
                  <c:v>United Kingdom</c:v>
                </c:pt>
                <c:pt idx="4">
                  <c:v>Greece</c:v>
                </c:pt>
                <c:pt idx="5">
                  <c:v>Norway</c:v>
                </c:pt>
                <c:pt idx="6">
                  <c:v>Sweden</c:v>
                </c:pt>
                <c:pt idx="7">
                  <c:v>Slovenia</c:v>
                </c:pt>
              </c:strCache>
            </c:strRef>
          </c:cat>
          <c:val>
            <c:numRef>
              <c:f>Sheet1!$H$7:$H$14</c:f>
            </c:numRef>
          </c:val>
        </c:ser>
        <c:ser>
          <c:idx val="7"/>
          <c:order val="7"/>
          <c:tx>
            <c:strRef>
              <c:f>Sheet1!$I$5:$I$6</c:f>
              <c:strCache>
                <c:ptCount val="1"/>
                <c:pt idx="0">
                  <c:v>Total % Agree</c:v>
                </c:pt>
              </c:strCache>
            </c:strRef>
          </c:tx>
          <c:spPr>
            <a:solidFill>
              <a:schemeClr val="accent1"/>
            </a:solidFill>
            <a:ln>
              <a:solidFill>
                <a:schemeClr val="accent1"/>
              </a:solidFill>
            </a:ln>
          </c:spPr>
          <c:invertIfNegative val="0"/>
          <c:cat>
            <c:strRef>
              <c:f>Sheet1!$A$7:$A$14</c:f>
              <c:strCache>
                <c:ptCount val="8"/>
                <c:pt idx="0">
                  <c:v>Germany</c:v>
                </c:pt>
                <c:pt idx="1">
                  <c:v>Denmark</c:v>
                </c:pt>
                <c:pt idx="2">
                  <c:v>France</c:v>
                </c:pt>
                <c:pt idx="3">
                  <c:v>United Kingdom</c:v>
                </c:pt>
                <c:pt idx="4">
                  <c:v>Greece</c:v>
                </c:pt>
                <c:pt idx="5">
                  <c:v>Norway</c:v>
                </c:pt>
                <c:pt idx="6">
                  <c:v>Sweden</c:v>
                </c:pt>
                <c:pt idx="7">
                  <c:v>Slovenia</c:v>
                </c:pt>
              </c:strCache>
            </c:strRef>
          </c:cat>
          <c:val>
            <c:numRef>
              <c:f>Sheet1!$I$7:$I$14</c:f>
              <c:numCache>
                <c:formatCode>###0.0%</c:formatCode>
                <c:ptCount val="8"/>
                <c:pt idx="0">
                  <c:v>0.81463773446119914</c:v>
                </c:pt>
                <c:pt idx="1">
                  <c:v>0.67278481012658287</c:v>
                </c:pt>
                <c:pt idx="2">
                  <c:v>0.71546291808046503</c:v>
                </c:pt>
                <c:pt idx="3">
                  <c:v>0.75953707672524651</c:v>
                </c:pt>
                <c:pt idx="4">
                  <c:v>0.51256281407035142</c:v>
                </c:pt>
                <c:pt idx="5">
                  <c:v>0.71206225680933855</c:v>
                </c:pt>
                <c:pt idx="6">
                  <c:v>0.56687185226636871</c:v>
                </c:pt>
                <c:pt idx="7">
                  <c:v>0.38059071729957827</c:v>
                </c:pt>
              </c:numCache>
            </c:numRef>
          </c:val>
        </c:ser>
        <c:ser>
          <c:idx val="8"/>
          <c:order val="8"/>
          <c:tx>
            <c:strRef>
              <c:f>Sheet1!$J$5:$J$6</c:f>
              <c:strCache>
                <c:ptCount val="1"/>
                <c:pt idx="0">
                  <c:v>Total % Disagree</c:v>
                </c:pt>
              </c:strCache>
            </c:strRef>
          </c:tx>
          <c:spPr>
            <a:solidFill>
              <a:schemeClr val="accent2"/>
            </a:solidFill>
          </c:spPr>
          <c:invertIfNegative val="0"/>
          <c:cat>
            <c:strRef>
              <c:f>Sheet1!$A$7:$A$14</c:f>
              <c:strCache>
                <c:ptCount val="8"/>
                <c:pt idx="0">
                  <c:v>Germany</c:v>
                </c:pt>
                <c:pt idx="1">
                  <c:v>Denmark</c:v>
                </c:pt>
                <c:pt idx="2">
                  <c:v>France</c:v>
                </c:pt>
                <c:pt idx="3">
                  <c:v>United Kingdom</c:v>
                </c:pt>
                <c:pt idx="4">
                  <c:v>Greece</c:v>
                </c:pt>
                <c:pt idx="5">
                  <c:v>Norway</c:v>
                </c:pt>
                <c:pt idx="6">
                  <c:v>Sweden</c:v>
                </c:pt>
                <c:pt idx="7">
                  <c:v>Slovenia</c:v>
                </c:pt>
              </c:strCache>
            </c:strRef>
          </c:cat>
          <c:val>
            <c:numRef>
              <c:f>Sheet1!$J$7:$J$14</c:f>
              <c:numCache>
                <c:formatCode>###0.0%</c:formatCode>
                <c:ptCount val="8"/>
                <c:pt idx="0">
                  <c:v>6.9878631849944875E-2</c:v>
                </c:pt>
                <c:pt idx="1">
                  <c:v>0.13607594936708861</c:v>
                </c:pt>
                <c:pt idx="2">
                  <c:v>0.13669413475521092</c:v>
                </c:pt>
                <c:pt idx="3">
                  <c:v>0.12001714530647239</c:v>
                </c:pt>
                <c:pt idx="4">
                  <c:v>0.20351758793969849</c:v>
                </c:pt>
                <c:pt idx="5">
                  <c:v>0.10635538261997403</c:v>
                </c:pt>
                <c:pt idx="6">
                  <c:v>0.16452154448796871</c:v>
                </c:pt>
                <c:pt idx="7">
                  <c:v>0.34092827004219417</c:v>
                </c:pt>
              </c:numCache>
            </c:numRef>
          </c:val>
        </c:ser>
        <c:ser>
          <c:idx val="9"/>
          <c:order val="9"/>
          <c:tx>
            <c:v>Neither agree or disagree</c:v>
          </c:tx>
          <c:spPr>
            <a:solidFill>
              <a:schemeClr val="bg1">
                <a:lumMod val="85000"/>
              </a:schemeClr>
            </a:solidFill>
          </c:spPr>
          <c:invertIfNegative val="0"/>
          <c:cat>
            <c:strRef>
              <c:f>Sheet1!$A$7:$A$14</c:f>
              <c:strCache>
                <c:ptCount val="8"/>
                <c:pt idx="0">
                  <c:v>Germany</c:v>
                </c:pt>
                <c:pt idx="1">
                  <c:v>Denmark</c:v>
                </c:pt>
                <c:pt idx="2">
                  <c:v>France</c:v>
                </c:pt>
                <c:pt idx="3">
                  <c:v>United Kingdom</c:v>
                </c:pt>
                <c:pt idx="4">
                  <c:v>Greece</c:v>
                </c:pt>
                <c:pt idx="5">
                  <c:v>Norway</c:v>
                </c:pt>
                <c:pt idx="6">
                  <c:v>Sweden</c:v>
                </c:pt>
                <c:pt idx="7">
                  <c:v>Slovenia</c:v>
                </c:pt>
              </c:strCache>
            </c:strRef>
          </c:cat>
          <c:val>
            <c:numRef>
              <c:f>Sheet1!$K$7:$K$14</c:f>
              <c:numCache>
                <c:formatCode>###0.0%</c:formatCode>
                <c:ptCount val="8"/>
                <c:pt idx="0">
                  <c:v>0.1154836336888562</c:v>
                </c:pt>
                <c:pt idx="1">
                  <c:v>0.19113924050632922</c:v>
                </c:pt>
                <c:pt idx="2">
                  <c:v>0.14784294716432389</c:v>
                </c:pt>
                <c:pt idx="3">
                  <c:v>0.12044577796828125</c:v>
                </c:pt>
                <c:pt idx="4">
                  <c:v>0.28391959798995003</c:v>
                </c:pt>
                <c:pt idx="5">
                  <c:v>0.18158236057068741</c:v>
                </c:pt>
                <c:pt idx="6">
                  <c:v>0.26860660324566332</c:v>
                </c:pt>
                <c:pt idx="7">
                  <c:v>0.27848101265822783</c:v>
                </c:pt>
              </c:numCache>
            </c:numRef>
          </c:val>
        </c:ser>
        <c:dLbls>
          <c:showLegendKey val="0"/>
          <c:showVal val="0"/>
          <c:showCatName val="0"/>
          <c:showSerName val="0"/>
          <c:showPercent val="0"/>
          <c:showBubbleSize val="0"/>
        </c:dLbls>
        <c:gapWidth val="150"/>
        <c:axId val="389294080"/>
        <c:axId val="397923664"/>
      </c:barChart>
      <c:catAx>
        <c:axId val="389294080"/>
        <c:scaling>
          <c:orientation val="minMax"/>
        </c:scaling>
        <c:delete val="0"/>
        <c:axPos val="b"/>
        <c:numFmt formatCode="General" sourceLinked="0"/>
        <c:majorTickMark val="out"/>
        <c:minorTickMark val="none"/>
        <c:tickLblPos val="nextTo"/>
        <c:crossAx val="397923664"/>
        <c:crosses val="autoZero"/>
        <c:auto val="1"/>
        <c:lblAlgn val="ctr"/>
        <c:lblOffset val="100"/>
        <c:noMultiLvlLbl val="0"/>
      </c:catAx>
      <c:valAx>
        <c:axId val="397923664"/>
        <c:scaling>
          <c:orientation val="minMax"/>
        </c:scaling>
        <c:delete val="0"/>
        <c:axPos val="l"/>
        <c:majorGridlines/>
        <c:numFmt formatCode="###0.0%" sourceLinked="1"/>
        <c:majorTickMark val="out"/>
        <c:minorTickMark val="none"/>
        <c:tickLblPos val="nextTo"/>
        <c:crossAx val="389294080"/>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Sheet1!$M$6</c:f>
              <c:strCache>
                <c:ptCount val="1"/>
                <c:pt idx="0">
                  <c:v>Total</c:v>
                </c:pt>
              </c:strCache>
            </c:strRef>
          </c:tx>
          <c:invertIfNegative val="0"/>
          <c:cat>
            <c:strRef>
              <c:f>Sheet1!$A$8:$L$15</c:f>
              <c:strCache>
                <c:ptCount val="8"/>
                <c:pt idx="0">
                  <c:v>Germany</c:v>
                </c:pt>
                <c:pt idx="1">
                  <c:v>Denmark</c:v>
                </c:pt>
                <c:pt idx="2">
                  <c:v>France</c:v>
                </c:pt>
                <c:pt idx="3">
                  <c:v>United Kingdom</c:v>
                </c:pt>
                <c:pt idx="4">
                  <c:v>Greece</c:v>
                </c:pt>
                <c:pt idx="5">
                  <c:v>Norway</c:v>
                </c:pt>
                <c:pt idx="6">
                  <c:v>Sweden</c:v>
                </c:pt>
                <c:pt idx="7">
                  <c:v>Slovenia</c:v>
                </c:pt>
              </c:strCache>
            </c:strRef>
          </c:cat>
          <c:val>
            <c:numRef>
              <c:f>Sheet1!$M$7:$M$15</c:f>
            </c:numRef>
          </c:val>
        </c:ser>
        <c:ser>
          <c:idx val="1"/>
          <c:order val="1"/>
          <c:tx>
            <c:strRef>
              <c:f>Sheet1!$N$6</c:f>
              <c:strCache>
                <c:ptCount val="1"/>
              </c:strCache>
            </c:strRef>
          </c:tx>
          <c:invertIfNegative val="0"/>
          <c:cat>
            <c:strRef>
              <c:f>Sheet1!$A$8:$L$15</c:f>
              <c:strCache>
                <c:ptCount val="8"/>
                <c:pt idx="0">
                  <c:v>Germany</c:v>
                </c:pt>
                <c:pt idx="1">
                  <c:v>Denmark</c:v>
                </c:pt>
                <c:pt idx="2">
                  <c:v>France</c:v>
                </c:pt>
                <c:pt idx="3">
                  <c:v>United Kingdom</c:v>
                </c:pt>
                <c:pt idx="4">
                  <c:v>Greece</c:v>
                </c:pt>
                <c:pt idx="5">
                  <c:v>Norway</c:v>
                </c:pt>
                <c:pt idx="6">
                  <c:v>Sweden</c:v>
                </c:pt>
                <c:pt idx="7">
                  <c:v>Slovenia</c:v>
                </c:pt>
              </c:strCache>
            </c:strRef>
          </c:cat>
          <c:val>
            <c:numRef>
              <c:f>Sheet1!$N$7:$N$15</c:f>
            </c:numRef>
          </c:val>
        </c:ser>
        <c:ser>
          <c:idx val="2"/>
          <c:order val="2"/>
          <c:tx>
            <c:strRef>
              <c:f>Sheet1!$O$6</c:f>
              <c:strCache>
                <c:ptCount val="1"/>
              </c:strCache>
            </c:strRef>
          </c:tx>
          <c:invertIfNegative val="0"/>
          <c:cat>
            <c:strRef>
              <c:f>Sheet1!$A$8:$L$15</c:f>
              <c:strCache>
                <c:ptCount val="8"/>
                <c:pt idx="0">
                  <c:v>Germany</c:v>
                </c:pt>
                <c:pt idx="1">
                  <c:v>Denmark</c:v>
                </c:pt>
                <c:pt idx="2">
                  <c:v>France</c:v>
                </c:pt>
                <c:pt idx="3">
                  <c:v>United Kingdom</c:v>
                </c:pt>
                <c:pt idx="4">
                  <c:v>Greece</c:v>
                </c:pt>
                <c:pt idx="5">
                  <c:v>Norway</c:v>
                </c:pt>
                <c:pt idx="6">
                  <c:v>Sweden</c:v>
                </c:pt>
                <c:pt idx="7">
                  <c:v>Slovenia</c:v>
                </c:pt>
              </c:strCache>
            </c:strRef>
          </c:cat>
          <c:val>
            <c:numRef>
              <c:f>Sheet1!$O$7:$O$15</c:f>
            </c:numRef>
          </c:val>
        </c:ser>
        <c:ser>
          <c:idx val="3"/>
          <c:order val="3"/>
          <c:tx>
            <c:v>Receive more</c:v>
          </c:tx>
          <c:spPr>
            <a:solidFill>
              <a:schemeClr val="accent2"/>
            </a:solidFill>
          </c:spPr>
          <c:invertIfNegative val="0"/>
          <c:cat>
            <c:strRef>
              <c:f>Sheet1!$A$8:$L$15</c:f>
              <c:strCache>
                <c:ptCount val="8"/>
                <c:pt idx="0">
                  <c:v>Germany</c:v>
                </c:pt>
                <c:pt idx="1">
                  <c:v>Denmark</c:v>
                </c:pt>
                <c:pt idx="2">
                  <c:v>France</c:v>
                </c:pt>
                <c:pt idx="3">
                  <c:v>United Kingdom</c:v>
                </c:pt>
                <c:pt idx="4">
                  <c:v>Greece</c:v>
                </c:pt>
                <c:pt idx="5">
                  <c:v>Norway</c:v>
                </c:pt>
                <c:pt idx="6">
                  <c:v>Sweden</c:v>
                </c:pt>
                <c:pt idx="7">
                  <c:v>Slovenia</c:v>
                </c:pt>
              </c:strCache>
            </c:strRef>
          </c:cat>
          <c:val>
            <c:numRef>
              <c:f>Sheet1!$P$8:$P$15</c:f>
              <c:numCache>
                <c:formatCode>###0.0%</c:formatCode>
                <c:ptCount val="8"/>
                <c:pt idx="0">
                  <c:v>0.55499021526418835</c:v>
                </c:pt>
                <c:pt idx="1">
                  <c:v>0.46043165467625891</c:v>
                </c:pt>
                <c:pt idx="2">
                  <c:v>0.40672934190994581</c:v>
                </c:pt>
                <c:pt idx="3">
                  <c:v>0.56712450155073102</c:v>
                </c:pt>
                <c:pt idx="4">
                  <c:v>0.51927891837756635</c:v>
                </c:pt>
                <c:pt idx="5">
                  <c:v>0.47166123778501634</c:v>
                </c:pt>
                <c:pt idx="6">
                  <c:v>0.39740566037735869</c:v>
                </c:pt>
                <c:pt idx="7">
                  <c:v>0.46254355400696856</c:v>
                </c:pt>
              </c:numCache>
            </c:numRef>
          </c:val>
        </c:ser>
        <c:ser>
          <c:idx val="4"/>
          <c:order val="4"/>
          <c:tx>
            <c:v>Contribute more</c:v>
          </c:tx>
          <c:spPr>
            <a:solidFill>
              <a:schemeClr val="accent1"/>
            </a:solidFill>
          </c:spPr>
          <c:invertIfNegative val="0"/>
          <c:cat>
            <c:strRef>
              <c:f>Sheet1!$A$8:$L$15</c:f>
              <c:strCache>
                <c:ptCount val="8"/>
                <c:pt idx="0">
                  <c:v>Germany</c:v>
                </c:pt>
                <c:pt idx="1">
                  <c:v>Denmark</c:v>
                </c:pt>
                <c:pt idx="2">
                  <c:v>France</c:v>
                </c:pt>
                <c:pt idx="3">
                  <c:v>United Kingdom</c:v>
                </c:pt>
                <c:pt idx="4">
                  <c:v>Greece</c:v>
                </c:pt>
                <c:pt idx="5">
                  <c:v>Norway</c:v>
                </c:pt>
                <c:pt idx="6">
                  <c:v>Sweden</c:v>
                </c:pt>
                <c:pt idx="7">
                  <c:v>Slovenia</c:v>
                </c:pt>
              </c:strCache>
            </c:strRef>
          </c:cat>
          <c:val>
            <c:numRef>
              <c:f>Sheet1!$Q$8:$Q$15</c:f>
              <c:numCache>
                <c:formatCode>###0.0%</c:formatCode>
                <c:ptCount val="8"/>
                <c:pt idx="0">
                  <c:v>0.12563600782778866</c:v>
                </c:pt>
                <c:pt idx="1">
                  <c:v>0.19686069326357092</c:v>
                </c:pt>
                <c:pt idx="2">
                  <c:v>0.18753092528451262</c:v>
                </c:pt>
                <c:pt idx="3">
                  <c:v>0.19051838723969874</c:v>
                </c:pt>
                <c:pt idx="4">
                  <c:v>0.22283425137706567</c:v>
                </c:pt>
                <c:pt idx="5">
                  <c:v>0.21758957654723138</c:v>
                </c:pt>
                <c:pt idx="6">
                  <c:v>0.21049528301886802</c:v>
                </c:pt>
                <c:pt idx="7">
                  <c:v>0.16724738675958195</c:v>
                </c:pt>
              </c:numCache>
            </c:numRef>
          </c:val>
        </c:ser>
        <c:dLbls>
          <c:showLegendKey val="0"/>
          <c:showVal val="0"/>
          <c:showCatName val="0"/>
          <c:showSerName val="0"/>
          <c:showPercent val="0"/>
          <c:showBubbleSize val="0"/>
        </c:dLbls>
        <c:gapWidth val="150"/>
        <c:axId val="397921312"/>
        <c:axId val="397921704"/>
      </c:barChart>
      <c:catAx>
        <c:axId val="397921312"/>
        <c:scaling>
          <c:orientation val="minMax"/>
        </c:scaling>
        <c:delete val="0"/>
        <c:axPos val="b"/>
        <c:numFmt formatCode="General" sourceLinked="0"/>
        <c:majorTickMark val="out"/>
        <c:minorTickMark val="none"/>
        <c:tickLblPos val="nextTo"/>
        <c:crossAx val="397921704"/>
        <c:crosses val="autoZero"/>
        <c:auto val="1"/>
        <c:lblAlgn val="ctr"/>
        <c:lblOffset val="100"/>
        <c:noMultiLvlLbl val="0"/>
      </c:catAx>
      <c:valAx>
        <c:axId val="397921704"/>
        <c:scaling>
          <c:orientation val="minMax"/>
        </c:scaling>
        <c:delete val="0"/>
        <c:axPos val="l"/>
        <c:majorGridlines/>
        <c:numFmt formatCode="###0.0%" sourceLinked="1"/>
        <c:majorTickMark val="out"/>
        <c:minorTickMark val="none"/>
        <c:tickLblPos val="nextTo"/>
        <c:crossAx val="397921312"/>
        <c:crosses val="autoZero"/>
        <c:crossBetween val="between"/>
      </c:val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Sheet1!$B$6:$B$13</c:f>
              <c:strCache>
                <c:ptCount val="8"/>
                <c:pt idx="0">
                  <c:v>Germany</c:v>
                </c:pt>
                <c:pt idx="1">
                  <c:v>Denmark</c:v>
                </c:pt>
                <c:pt idx="2">
                  <c:v>Greece</c:v>
                </c:pt>
                <c:pt idx="3">
                  <c:v>France</c:v>
                </c:pt>
                <c:pt idx="4">
                  <c:v>Italy</c:v>
                </c:pt>
                <c:pt idx="5">
                  <c:v>Sweden</c:v>
                </c:pt>
                <c:pt idx="6">
                  <c:v>Slovenia</c:v>
                </c:pt>
                <c:pt idx="7">
                  <c:v>UK</c:v>
                </c:pt>
              </c:strCache>
            </c:strRef>
          </c:cat>
          <c:val>
            <c:numRef>
              <c:f>Sheet1!$C$6:$C$13</c:f>
            </c:numRef>
          </c:val>
        </c:ser>
        <c:ser>
          <c:idx val="1"/>
          <c:order val="1"/>
          <c:invertIfNegative val="0"/>
          <c:cat>
            <c:strRef>
              <c:f>Sheet1!$B$6:$B$13</c:f>
              <c:strCache>
                <c:ptCount val="8"/>
                <c:pt idx="0">
                  <c:v>Germany</c:v>
                </c:pt>
                <c:pt idx="1">
                  <c:v>Denmark</c:v>
                </c:pt>
                <c:pt idx="2">
                  <c:v>Greece</c:v>
                </c:pt>
                <c:pt idx="3">
                  <c:v>France</c:v>
                </c:pt>
                <c:pt idx="4">
                  <c:v>Italy</c:v>
                </c:pt>
                <c:pt idx="5">
                  <c:v>Sweden</c:v>
                </c:pt>
                <c:pt idx="6">
                  <c:v>Slovenia</c:v>
                </c:pt>
                <c:pt idx="7">
                  <c:v>UK</c:v>
                </c:pt>
              </c:strCache>
            </c:strRef>
          </c:cat>
          <c:val>
            <c:numRef>
              <c:f>Sheet1!$D$6:$D$13</c:f>
            </c:numRef>
          </c:val>
        </c:ser>
        <c:ser>
          <c:idx val="2"/>
          <c:order val="2"/>
          <c:invertIfNegative val="0"/>
          <c:cat>
            <c:strRef>
              <c:f>Sheet1!$B$6:$B$13</c:f>
              <c:strCache>
                <c:ptCount val="8"/>
                <c:pt idx="0">
                  <c:v>Germany</c:v>
                </c:pt>
                <c:pt idx="1">
                  <c:v>Denmark</c:v>
                </c:pt>
                <c:pt idx="2">
                  <c:v>Greece</c:v>
                </c:pt>
                <c:pt idx="3">
                  <c:v>France</c:v>
                </c:pt>
                <c:pt idx="4">
                  <c:v>Italy</c:v>
                </c:pt>
                <c:pt idx="5">
                  <c:v>Sweden</c:v>
                </c:pt>
                <c:pt idx="6">
                  <c:v>Slovenia</c:v>
                </c:pt>
                <c:pt idx="7">
                  <c:v>UK</c:v>
                </c:pt>
              </c:strCache>
            </c:strRef>
          </c:cat>
          <c:val>
            <c:numRef>
              <c:f>Sheet1!$E$6:$E$13</c:f>
            </c:numRef>
          </c:val>
        </c:ser>
        <c:ser>
          <c:idx val="3"/>
          <c:order val="3"/>
          <c:invertIfNegative val="0"/>
          <c:cat>
            <c:strRef>
              <c:f>Sheet1!$B$6:$B$13</c:f>
              <c:strCache>
                <c:ptCount val="8"/>
                <c:pt idx="0">
                  <c:v>Germany</c:v>
                </c:pt>
                <c:pt idx="1">
                  <c:v>Denmark</c:v>
                </c:pt>
                <c:pt idx="2">
                  <c:v>Greece</c:v>
                </c:pt>
                <c:pt idx="3">
                  <c:v>France</c:v>
                </c:pt>
                <c:pt idx="4">
                  <c:v>Italy</c:v>
                </c:pt>
                <c:pt idx="5">
                  <c:v>Sweden</c:v>
                </c:pt>
                <c:pt idx="6">
                  <c:v>Slovenia</c:v>
                </c:pt>
                <c:pt idx="7">
                  <c:v>UK</c:v>
                </c:pt>
              </c:strCache>
            </c:strRef>
          </c:cat>
          <c:val>
            <c:numRef>
              <c:f>Sheet1!$F$6:$F$13</c:f>
            </c:numRef>
          </c:val>
        </c:ser>
        <c:ser>
          <c:idx val="4"/>
          <c:order val="4"/>
          <c:invertIfNegative val="0"/>
          <c:cat>
            <c:strRef>
              <c:f>Sheet1!$B$6:$B$13</c:f>
              <c:strCache>
                <c:ptCount val="8"/>
                <c:pt idx="0">
                  <c:v>Germany</c:v>
                </c:pt>
                <c:pt idx="1">
                  <c:v>Denmark</c:v>
                </c:pt>
                <c:pt idx="2">
                  <c:v>Greece</c:v>
                </c:pt>
                <c:pt idx="3">
                  <c:v>France</c:v>
                </c:pt>
                <c:pt idx="4">
                  <c:v>Italy</c:v>
                </c:pt>
                <c:pt idx="5">
                  <c:v>Sweden</c:v>
                </c:pt>
                <c:pt idx="6">
                  <c:v>Slovenia</c:v>
                </c:pt>
                <c:pt idx="7">
                  <c:v>UK</c:v>
                </c:pt>
              </c:strCache>
            </c:strRef>
          </c:cat>
          <c:val>
            <c:numRef>
              <c:f>Sheet1!$G$6:$G$13</c:f>
            </c:numRef>
          </c:val>
        </c:ser>
        <c:ser>
          <c:idx val="5"/>
          <c:order val="5"/>
          <c:invertIfNegative val="0"/>
          <c:cat>
            <c:strRef>
              <c:f>Sheet1!$B$6:$B$13</c:f>
              <c:strCache>
                <c:ptCount val="8"/>
                <c:pt idx="0">
                  <c:v>Germany</c:v>
                </c:pt>
                <c:pt idx="1">
                  <c:v>Denmark</c:v>
                </c:pt>
                <c:pt idx="2">
                  <c:v>Greece</c:v>
                </c:pt>
                <c:pt idx="3">
                  <c:v>France</c:v>
                </c:pt>
                <c:pt idx="4">
                  <c:v>Italy</c:v>
                </c:pt>
                <c:pt idx="5">
                  <c:v>Sweden</c:v>
                </c:pt>
                <c:pt idx="6">
                  <c:v>Slovenia</c:v>
                </c:pt>
                <c:pt idx="7">
                  <c:v>UK</c:v>
                </c:pt>
              </c:strCache>
            </c:strRef>
          </c:cat>
          <c:val>
            <c:numRef>
              <c:f>Sheet1!$H$6:$H$13</c:f>
            </c:numRef>
          </c:val>
        </c:ser>
        <c:ser>
          <c:idx val="6"/>
          <c:order val="6"/>
          <c:invertIfNegative val="0"/>
          <c:cat>
            <c:strRef>
              <c:f>Sheet1!$B$6:$B$13</c:f>
              <c:strCache>
                <c:ptCount val="8"/>
                <c:pt idx="0">
                  <c:v>Germany</c:v>
                </c:pt>
                <c:pt idx="1">
                  <c:v>Denmark</c:v>
                </c:pt>
                <c:pt idx="2">
                  <c:v>Greece</c:v>
                </c:pt>
                <c:pt idx="3">
                  <c:v>France</c:v>
                </c:pt>
                <c:pt idx="4">
                  <c:v>Italy</c:v>
                </c:pt>
                <c:pt idx="5">
                  <c:v>Sweden</c:v>
                </c:pt>
                <c:pt idx="6">
                  <c:v>Slovenia</c:v>
                </c:pt>
                <c:pt idx="7">
                  <c:v>UK</c:v>
                </c:pt>
              </c:strCache>
            </c:strRef>
          </c:cat>
          <c:val>
            <c:numRef>
              <c:f>Sheet1!$I$6:$I$13</c:f>
            </c:numRef>
          </c:val>
        </c:ser>
        <c:ser>
          <c:idx val="7"/>
          <c:order val="7"/>
          <c:invertIfNegative val="0"/>
          <c:cat>
            <c:strRef>
              <c:f>Sheet1!$B$6:$B$13</c:f>
              <c:strCache>
                <c:ptCount val="8"/>
                <c:pt idx="0">
                  <c:v>Germany</c:v>
                </c:pt>
                <c:pt idx="1">
                  <c:v>Denmark</c:v>
                </c:pt>
                <c:pt idx="2">
                  <c:v>Greece</c:v>
                </c:pt>
                <c:pt idx="3">
                  <c:v>France</c:v>
                </c:pt>
                <c:pt idx="4">
                  <c:v>Italy</c:v>
                </c:pt>
                <c:pt idx="5">
                  <c:v>Sweden</c:v>
                </c:pt>
                <c:pt idx="6">
                  <c:v>Slovenia</c:v>
                </c:pt>
                <c:pt idx="7">
                  <c:v>UK</c:v>
                </c:pt>
              </c:strCache>
            </c:strRef>
          </c:cat>
          <c:val>
            <c:numRef>
              <c:f>Sheet1!$J$6:$J$13</c:f>
            </c:numRef>
          </c:val>
        </c:ser>
        <c:ser>
          <c:idx val="8"/>
          <c:order val="8"/>
          <c:invertIfNegative val="0"/>
          <c:cat>
            <c:strRef>
              <c:f>Sheet1!$B$6:$B$13</c:f>
              <c:strCache>
                <c:ptCount val="8"/>
                <c:pt idx="0">
                  <c:v>Germany</c:v>
                </c:pt>
                <c:pt idx="1">
                  <c:v>Denmark</c:v>
                </c:pt>
                <c:pt idx="2">
                  <c:v>Greece</c:v>
                </c:pt>
                <c:pt idx="3">
                  <c:v>France</c:v>
                </c:pt>
                <c:pt idx="4">
                  <c:v>Italy</c:v>
                </c:pt>
                <c:pt idx="5">
                  <c:v>Sweden</c:v>
                </c:pt>
                <c:pt idx="6">
                  <c:v>Slovenia</c:v>
                </c:pt>
                <c:pt idx="7">
                  <c:v>UK</c:v>
                </c:pt>
              </c:strCache>
            </c:strRef>
          </c:cat>
          <c:val>
            <c:numRef>
              <c:f>Sheet1!$K$6:$K$13</c:f>
            </c:numRef>
          </c:val>
        </c:ser>
        <c:ser>
          <c:idx val="9"/>
          <c:order val="9"/>
          <c:invertIfNegative val="0"/>
          <c:cat>
            <c:strRef>
              <c:f>Sheet1!$B$6:$B$13</c:f>
              <c:strCache>
                <c:ptCount val="8"/>
                <c:pt idx="0">
                  <c:v>Germany</c:v>
                </c:pt>
                <c:pt idx="1">
                  <c:v>Denmark</c:v>
                </c:pt>
                <c:pt idx="2">
                  <c:v>Greece</c:v>
                </c:pt>
                <c:pt idx="3">
                  <c:v>France</c:v>
                </c:pt>
                <c:pt idx="4">
                  <c:v>Italy</c:v>
                </c:pt>
                <c:pt idx="5">
                  <c:v>Sweden</c:v>
                </c:pt>
                <c:pt idx="6">
                  <c:v>Slovenia</c:v>
                </c:pt>
                <c:pt idx="7">
                  <c:v>UK</c:v>
                </c:pt>
              </c:strCache>
            </c:strRef>
          </c:cat>
          <c:val>
            <c:numRef>
              <c:f>Sheet1!$L$6:$L$13</c:f>
            </c:numRef>
          </c:val>
        </c:ser>
        <c:ser>
          <c:idx val="10"/>
          <c:order val="10"/>
          <c:invertIfNegative val="0"/>
          <c:cat>
            <c:strRef>
              <c:f>Sheet1!$B$6:$B$13</c:f>
              <c:strCache>
                <c:ptCount val="8"/>
                <c:pt idx="0">
                  <c:v>Germany</c:v>
                </c:pt>
                <c:pt idx="1">
                  <c:v>Denmark</c:v>
                </c:pt>
                <c:pt idx="2">
                  <c:v>Greece</c:v>
                </c:pt>
                <c:pt idx="3">
                  <c:v>France</c:v>
                </c:pt>
                <c:pt idx="4">
                  <c:v>Italy</c:v>
                </c:pt>
                <c:pt idx="5">
                  <c:v>Sweden</c:v>
                </c:pt>
                <c:pt idx="6">
                  <c:v>Slovenia</c:v>
                </c:pt>
                <c:pt idx="7">
                  <c:v>UK</c:v>
                </c:pt>
              </c:strCache>
            </c:strRef>
          </c:cat>
          <c:val>
            <c:numRef>
              <c:f>Sheet1!$M$6:$M$13</c:f>
            </c:numRef>
          </c:val>
        </c:ser>
        <c:ser>
          <c:idx val="11"/>
          <c:order val="11"/>
          <c:invertIfNegative val="0"/>
          <c:cat>
            <c:strRef>
              <c:f>Sheet1!$B$6:$B$13</c:f>
              <c:strCache>
                <c:ptCount val="8"/>
                <c:pt idx="0">
                  <c:v>Germany</c:v>
                </c:pt>
                <c:pt idx="1">
                  <c:v>Denmark</c:v>
                </c:pt>
                <c:pt idx="2">
                  <c:v>Greece</c:v>
                </c:pt>
                <c:pt idx="3">
                  <c:v>France</c:v>
                </c:pt>
                <c:pt idx="4">
                  <c:v>Italy</c:v>
                </c:pt>
                <c:pt idx="5">
                  <c:v>Sweden</c:v>
                </c:pt>
                <c:pt idx="6">
                  <c:v>Slovenia</c:v>
                </c:pt>
                <c:pt idx="7">
                  <c:v>UK</c:v>
                </c:pt>
              </c:strCache>
            </c:strRef>
          </c:cat>
          <c:val>
            <c:numRef>
              <c:f>Sheet1!$N$6:$N$13</c:f>
            </c:numRef>
          </c:val>
        </c:ser>
        <c:ser>
          <c:idx val="12"/>
          <c:order val="12"/>
          <c:invertIfNegative val="0"/>
          <c:cat>
            <c:strRef>
              <c:f>Sheet1!$B$6:$B$13</c:f>
              <c:strCache>
                <c:ptCount val="8"/>
                <c:pt idx="0">
                  <c:v>Germany</c:v>
                </c:pt>
                <c:pt idx="1">
                  <c:v>Denmark</c:v>
                </c:pt>
                <c:pt idx="2">
                  <c:v>Greece</c:v>
                </c:pt>
                <c:pt idx="3">
                  <c:v>France</c:v>
                </c:pt>
                <c:pt idx="4">
                  <c:v>Italy</c:v>
                </c:pt>
                <c:pt idx="5">
                  <c:v>Sweden</c:v>
                </c:pt>
                <c:pt idx="6">
                  <c:v>Slovenia</c:v>
                </c:pt>
                <c:pt idx="7">
                  <c:v>UK</c:v>
                </c:pt>
              </c:strCache>
            </c:strRef>
          </c:cat>
          <c:val>
            <c:numRef>
              <c:f>Sheet1!$O$6:$O$13</c:f>
            </c:numRef>
          </c:val>
        </c:ser>
        <c:ser>
          <c:idx val="13"/>
          <c:order val="13"/>
          <c:invertIfNegative val="0"/>
          <c:cat>
            <c:strRef>
              <c:f>Sheet1!$B$6:$B$13</c:f>
              <c:strCache>
                <c:ptCount val="8"/>
                <c:pt idx="0">
                  <c:v>Germany</c:v>
                </c:pt>
                <c:pt idx="1">
                  <c:v>Denmark</c:v>
                </c:pt>
                <c:pt idx="2">
                  <c:v>Greece</c:v>
                </c:pt>
                <c:pt idx="3">
                  <c:v>France</c:v>
                </c:pt>
                <c:pt idx="4">
                  <c:v>Italy</c:v>
                </c:pt>
                <c:pt idx="5">
                  <c:v>Sweden</c:v>
                </c:pt>
                <c:pt idx="6">
                  <c:v>Slovenia</c:v>
                </c:pt>
                <c:pt idx="7">
                  <c:v>UK</c:v>
                </c:pt>
              </c:strCache>
            </c:strRef>
          </c:cat>
          <c:val>
            <c:numRef>
              <c:f>Sheet1!$P$6:$P$13</c:f>
            </c:numRef>
          </c:val>
        </c:ser>
        <c:ser>
          <c:idx val="14"/>
          <c:order val="14"/>
          <c:tx>
            <c:v>Immigrants are a strain on our welfare system</c:v>
          </c:tx>
          <c:spPr>
            <a:solidFill>
              <a:schemeClr val="accent2"/>
            </a:solidFill>
          </c:spPr>
          <c:invertIfNegative val="0"/>
          <c:cat>
            <c:strRef>
              <c:f>Sheet1!$B$6:$B$13</c:f>
              <c:strCache>
                <c:ptCount val="8"/>
                <c:pt idx="0">
                  <c:v>Germany</c:v>
                </c:pt>
                <c:pt idx="1">
                  <c:v>Denmark</c:v>
                </c:pt>
                <c:pt idx="2">
                  <c:v>Greece</c:v>
                </c:pt>
                <c:pt idx="3">
                  <c:v>France</c:v>
                </c:pt>
                <c:pt idx="4">
                  <c:v>Italy</c:v>
                </c:pt>
                <c:pt idx="5">
                  <c:v>Sweden</c:v>
                </c:pt>
                <c:pt idx="6">
                  <c:v>Slovenia</c:v>
                </c:pt>
                <c:pt idx="7">
                  <c:v>UK</c:v>
                </c:pt>
              </c:strCache>
            </c:strRef>
          </c:cat>
          <c:val>
            <c:numRef>
              <c:f>Sheet1!$Q$6:$Q$13</c:f>
              <c:numCache>
                <c:formatCode>###0.0%</c:formatCode>
                <c:ptCount val="8"/>
                <c:pt idx="0">
                  <c:v>0.66554621848739515</c:v>
                </c:pt>
                <c:pt idx="1">
                  <c:v>0.53054989816700615</c:v>
                </c:pt>
                <c:pt idx="2">
                  <c:v>0.80243161094224891</c:v>
                </c:pt>
                <c:pt idx="3">
                  <c:v>0.68208616780045328</c:v>
                </c:pt>
                <c:pt idx="4">
                  <c:v>0.6301989150090419</c:v>
                </c:pt>
                <c:pt idx="5">
                  <c:v>0.39130434782608703</c:v>
                </c:pt>
                <c:pt idx="6">
                  <c:v>0.5780104712041888</c:v>
                </c:pt>
                <c:pt idx="7">
                  <c:v>0.74399260628465835</c:v>
                </c:pt>
              </c:numCache>
            </c:numRef>
          </c:val>
        </c:ser>
        <c:ser>
          <c:idx val="15"/>
          <c:order val="15"/>
          <c:tx>
            <c:v>Immigrants contribute to our welfare system</c:v>
          </c:tx>
          <c:spPr>
            <a:solidFill>
              <a:schemeClr val="accent1"/>
            </a:solidFill>
          </c:spPr>
          <c:invertIfNegative val="0"/>
          <c:cat>
            <c:strRef>
              <c:f>Sheet1!$B$6:$B$13</c:f>
              <c:strCache>
                <c:ptCount val="8"/>
                <c:pt idx="0">
                  <c:v>Germany</c:v>
                </c:pt>
                <c:pt idx="1">
                  <c:v>Denmark</c:v>
                </c:pt>
                <c:pt idx="2">
                  <c:v>Greece</c:v>
                </c:pt>
                <c:pt idx="3">
                  <c:v>France</c:v>
                </c:pt>
                <c:pt idx="4">
                  <c:v>Italy</c:v>
                </c:pt>
                <c:pt idx="5">
                  <c:v>Sweden</c:v>
                </c:pt>
                <c:pt idx="6">
                  <c:v>Slovenia</c:v>
                </c:pt>
                <c:pt idx="7">
                  <c:v>UK</c:v>
                </c:pt>
              </c:strCache>
            </c:strRef>
          </c:cat>
          <c:val>
            <c:numRef>
              <c:f>Sheet1!$R$6:$R$13</c:f>
              <c:numCache>
                <c:formatCode>###0.0%</c:formatCode>
                <c:ptCount val="8"/>
                <c:pt idx="0">
                  <c:v>0.33445378151260535</c:v>
                </c:pt>
                <c:pt idx="1">
                  <c:v>0.46945010183299402</c:v>
                </c:pt>
                <c:pt idx="2">
                  <c:v>0.19756838905775082</c:v>
                </c:pt>
                <c:pt idx="3">
                  <c:v>0.31791383219954672</c:v>
                </c:pt>
                <c:pt idx="4">
                  <c:v>0.36980108499095854</c:v>
                </c:pt>
                <c:pt idx="5">
                  <c:v>0.60869565217391375</c:v>
                </c:pt>
                <c:pt idx="6">
                  <c:v>0.42198952879581164</c:v>
                </c:pt>
                <c:pt idx="7">
                  <c:v>0.25600739371534198</c:v>
                </c:pt>
              </c:numCache>
            </c:numRef>
          </c:val>
        </c:ser>
        <c:dLbls>
          <c:showLegendKey val="0"/>
          <c:showVal val="0"/>
          <c:showCatName val="0"/>
          <c:showSerName val="0"/>
          <c:showPercent val="0"/>
          <c:showBubbleSize val="0"/>
        </c:dLbls>
        <c:gapWidth val="150"/>
        <c:axId val="397924056"/>
        <c:axId val="397924448"/>
      </c:barChart>
      <c:catAx>
        <c:axId val="397924056"/>
        <c:scaling>
          <c:orientation val="minMax"/>
        </c:scaling>
        <c:delete val="0"/>
        <c:axPos val="b"/>
        <c:numFmt formatCode="General" sourceLinked="0"/>
        <c:majorTickMark val="out"/>
        <c:minorTickMark val="none"/>
        <c:tickLblPos val="nextTo"/>
        <c:crossAx val="397924448"/>
        <c:crosses val="autoZero"/>
        <c:auto val="1"/>
        <c:lblAlgn val="ctr"/>
        <c:lblOffset val="100"/>
        <c:noMultiLvlLbl val="0"/>
      </c:catAx>
      <c:valAx>
        <c:axId val="397924448"/>
        <c:scaling>
          <c:orientation val="minMax"/>
        </c:scaling>
        <c:delete val="0"/>
        <c:axPos val="l"/>
        <c:majorGridlines/>
        <c:numFmt formatCode="###0.0%" sourceLinked="1"/>
        <c:majorTickMark val="out"/>
        <c:minorTickMark val="none"/>
        <c:tickLblPos val="nextTo"/>
        <c:crossAx val="397924056"/>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Sheet1!$B$6</c:f>
              <c:strCache>
                <c:ptCount val="1"/>
                <c:pt idx="0">
                  <c:v>Agree</c:v>
                </c:pt>
              </c:strCache>
            </c:strRef>
          </c:tx>
          <c:invertIfNegative val="0"/>
          <c:cat>
            <c:strRef>
              <c:f>Sheet1!$A$7:$A$14</c:f>
              <c:strCache>
                <c:ptCount val="8"/>
                <c:pt idx="0">
                  <c:v>Germany</c:v>
                </c:pt>
                <c:pt idx="1">
                  <c:v>Denmark</c:v>
                </c:pt>
                <c:pt idx="2">
                  <c:v>Greece</c:v>
                </c:pt>
                <c:pt idx="3">
                  <c:v>France</c:v>
                </c:pt>
                <c:pt idx="4">
                  <c:v>Italy</c:v>
                </c:pt>
                <c:pt idx="5">
                  <c:v>Sweden</c:v>
                </c:pt>
                <c:pt idx="6">
                  <c:v>Slovenia</c:v>
                </c:pt>
                <c:pt idx="7">
                  <c:v>UK</c:v>
                </c:pt>
              </c:strCache>
            </c:strRef>
          </c:cat>
          <c:val>
            <c:numRef>
              <c:f>Sheet1!$B$7:$B$14</c:f>
              <c:numCache>
                <c:formatCode>0%</c:formatCode>
                <c:ptCount val="8"/>
                <c:pt idx="0">
                  <c:v>0.1</c:v>
                </c:pt>
                <c:pt idx="1">
                  <c:v>0.37000000000000011</c:v>
                </c:pt>
                <c:pt idx="2">
                  <c:v>0.17</c:v>
                </c:pt>
                <c:pt idx="3">
                  <c:v>0.12000000000000002</c:v>
                </c:pt>
                <c:pt idx="4">
                  <c:v>0.25</c:v>
                </c:pt>
                <c:pt idx="5">
                  <c:v>0.29000000000000009</c:v>
                </c:pt>
                <c:pt idx="6">
                  <c:v>0.25</c:v>
                </c:pt>
                <c:pt idx="7">
                  <c:v>0.27</c:v>
                </c:pt>
              </c:numCache>
            </c:numRef>
          </c:val>
        </c:ser>
        <c:ser>
          <c:idx val="1"/>
          <c:order val="1"/>
          <c:tx>
            <c:strRef>
              <c:f>Sheet1!$C$6</c:f>
              <c:strCache>
                <c:ptCount val="1"/>
                <c:pt idx="0">
                  <c:v>Disagree</c:v>
                </c:pt>
              </c:strCache>
            </c:strRef>
          </c:tx>
          <c:invertIfNegative val="0"/>
          <c:cat>
            <c:strRef>
              <c:f>Sheet1!$A$7:$A$14</c:f>
              <c:strCache>
                <c:ptCount val="8"/>
                <c:pt idx="0">
                  <c:v>Germany</c:v>
                </c:pt>
                <c:pt idx="1">
                  <c:v>Denmark</c:v>
                </c:pt>
                <c:pt idx="2">
                  <c:v>Greece</c:v>
                </c:pt>
                <c:pt idx="3">
                  <c:v>France</c:v>
                </c:pt>
                <c:pt idx="4">
                  <c:v>Italy</c:v>
                </c:pt>
                <c:pt idx="5">
                  <c:v>Sweden</c:v>
                </c:pt>
                <c:pt idx="6">
                  <c:v>Slovenia</c:v>
                </c:pt>
                <c:pt idx="7">
                  <c:v>UK</c:v>
                </c:pt>
              </c:strCache>
            </c:strRef>
          </c:cat>
          <c:val>
            <c:numRef>
              <c:f>Sheet1!$C$7:$C$14</c:f>
              <c:numCache>
                <c:formatCode>0%</c:formatCode>
                <c:ptCount val="8"/>
                <c:pt idx="0">
                  <c:v>0.61000000000000021</c:v>
                </c:pt>
                <c:pt idx="1">
                  <c:v>0.5</c:v>
                </c:pt>
                <c:pt idx="2">
                  <c:v>0.70000000000000018</c:v>
                </c:pt>
                <c:pt idx="3">
                  <c:v>0.66000000000000025</c:v>
                </c:pt>
                <c:pt idx="4">
                  <c:v>0.48000000000000009</c:v>
                </c:pt>
                <c:pt idx="5">
                  <c:v>0.41000000000000009</c:v>
                </c:pt>
                <c:pt idx="6">
                  <c:v>0.52</c:v>
                </c:pt>
                <c:pt idx="7">
                  <c:v>0.51</c:v>
                </c:pt>
              </c:numCache>
            </c:numRef>
          </c:val>
        </c:ser>
        <c:ser>
          <c:idx val="2"/>
          <c:order val="2"/>
          <c:tx>
            <c:strRef>
              <c:f>Sheet1!$D$6</c:f>
              <c:strCache>
                <c:ptCount val="1"/>
                <c:pt idx="0">
                  <c:v>It depends</c:v>
                </c:pt>
              </c:strCache>
            </c:strRef>
          </c:tx>
          <c:spPr>
            <a:solidFill>
              <a:schemeClr val="bg1">
                <a:lumMod val="85000"/>
              </a:schemeClr>
            </a:solidFill>
          </c:spPr>
          <c:invertIfNegative val="0"/>
          <c:cat>
            <c:strRef>
              <c:f>Sheet1!$A$7:$A$14</c:f>
              <c:strCache>
                <c:ptCount val="8"/>
                <c:pt idx="0">
                  <c:v>Germany</c:v>
                </c:pt>
                <c:pt idx="1">
                  <c:v>Denmark</c:v>
                </c:pt>
                <c:pt idx="2">
                  <c:v>Greece</c:v>
                </c:pt>
                <c:pt idx="3">
                  <c:v>France</c:v>
                </c:pt>
                <c:pt idx="4">
                  <c:v>Italy</c:v>
                </c:pt>
                <c:pt idx="5">
                  <c:v>Sweden</c:v>
                </c:pt>
                <c:pt idx="6">
                  <c:v>Slovenia</c:v>
                </c:pt>
                <c:pt idx="7">
                  <c:v>UK</c:v>
                </c:pt>
              </c:strCache>
            </c:strRef>
          </c:cat>
          <c:val>
            <c:numRef>
              <c:f>Sheet1!$D$7:$D$14</c:f>
              <c:numCache>
                <c:formatCode>0%</c:formatCode>
                <c:ptCount val="8"/>
                <c:pt idx="0">
                  <c:v>0.13</c:v>
                </c:pt>
                <c:pt idx="1">
                  <c:v>0.05</c:v>
                </c:pt>
                <c:pt idx="2">
                  <c:v>0.1</c:v>
                </c:pt>
                <c:pt idx="3">
                  <c:v>3.0000000000000002E-2</c:v>
                </c:pt>
                <c:pt idx="4">
                  <c:v>0.16</c:v>
                </c:pt>
                <c:pt idx="5">
                  <c:v>8.0000000000000029E-2</c:v>
                </c:pt>
                <c:pt idx="6">
                  <c:v>0.11</c:v>
                </c:pt>
                <c:pt idx="7">
                  <c:v>0.11</c:v>
                </c:pt>
              </c:numCache>
            </c:numRef>
          </c:val>
        </c:ser>
        <c:dLbls>
          <c:showLegendKey val="0"/>
          <c:showVal val="0"/>
          <c:showCatName val="0"/>
          <c:showSerName val="0"/>
          <c:showPercent val="0"/>
          <c:showBubbleSize val="0"/>
        </c:dLbls>
        <c:gapWidth val="150"/>
        <c:axId val="312215088"/>
        <c:axId val="312213520"/>
      </c:barChart>
      <c:catAx>
        <c:axId val="312215088"/>
        <c:scaling>
          <c:orientation val="minMax"/>
        </c:scaling>
        <c:delete val="0"/>
        <c:axPos val="b"/>
        <c:numFmt formatCode="General" sourceLinked="0"/>
        <c:majorTickMark val="out"/>
        <c:minorTickMark val="none"/>
        <c:tickLblPos val="nextTo"/>
        <c:crossAx val="312213520"/>
        <c:crosses val="autoZero"/>
        <c:auto val="1"/>
        <c:lblAlgn val="ctr"/>
        <c:lblOffset val="100"/>
        <c:noMultiLvlLbl val="0"/>
      </c:catAx>
      <c:valAx>
        <c:axId val="312213520"/>
        <c:scaling>
          <c:orientation val="minMax"/>
        </c:scaling>
        <c:delete val="0"/>
        <c:axPos val="l"/>
        <c:majorGridlines/>
        <c:numFmt formatCode="0%" sourceLinked="1"/>
        <c:majorTickMark val="out"/>
        <c:minorTickMark val="none"/>
        <c:tickLblPos val="nextTo"/>
        <c:crossAx val="312215088"/>
        <c:crosses val="autoZero"/>
        <c:crossBetween val="between"/>
      </c:valAx>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Sheet1!$B$20</c:f>
              <c:strCache>
                <c:ptCount val="1"/>
                <c:pt idx="0">
                  <c:v>Agree</c:v>
                </c:pt>
              </c:strCache>
            </c:strRef>
          </c:tx>
          <c:invertIfNegative val="0"/>
          <c:cat>
            <c:strRef>
              <c:f>Sheet1!$A$21:$A$28</c:f>
              <c:strCache>
                <c:ptCount val="8"/>
                <c:pt idx="0">
                  <c:v>Germany</c:v>
                </c:pt>
                <c:pt idx="1">
                  <c:v>Denmark</c:v>
                </c:pt>
                <c:pt idx="2">
                  <c:v>Greece</c:v>
                </c:pt>
                <c:pt idx="3">
                  <c:v>France</c:v>
                </c:pt>
                <c:pt idx="4">
                  <c:v>Italy</c:v>
                </c:pt>
                <c:pt idx="5">
                  <c:v>Sweden</c:v>
                </c:pt>
                <c:pt idx="6">
                  <c:v>Slovenia</c:v>
                </c:pt>
                <c:pt idx="7">
                  <c:v>UK</c:v>
                </c:pt>
              </c:strCache>
            </c:strRef>
          </c:cat>
          <c:val>
            <c:numRef>
              <c:f>Sheet1!$B$21:$B$28</c:f>
              <c:numCache>
                <c:formatCode>0%</c:formatCode>
                <c:ptCount val="8"/>
                <c:pt idx="0">
                  <c:v>0.27</c:v>
                </c:pt>
                <c:pt idx="1">
                  <c:v>0.48000000000000009</c:v>
                </c:pt>
                <c:pt idx="2">
                  <c:v>0.25</c:v>
                </c:pt>
                <c:pt idx="3">
                  <c:v>0.38000000000000012</c:v>
                </c:pt>
                <c:pt idx="4">
                  <c:v>0.35000000000000009</c:v>
                </c:pt>
                <c:pt idx="5">
                  <c:v>0.55000000000000004</c:v>
                </c:pt>
                <c:pt idx="6">
                  <c:v>0.31000000000000011</c:v>
                </c:pt>
                <c:pt idx="7">
                  <c:v>0.26</c:v>
                </c:pt>
              </c:numCache>
            </c:numRef>
          </c:val>
        </c:ser>
        <c:ser>
          <c:idx val="1"/>
          <c:order val="1"/>
          <c:tx>
            <c:strRef>
              <c:f>Sheet1!$C$20</c:f>
              <c:strCache>
                <c:ptCount val="1"/>
                <c:pt idx="0">
                  <c:v>Disagree</c:v>
                </c:pt>
              </c:strCache>
            </c:strRef>
          </c:tx>
          <c:invertIfNegative val="0"/>
          <c:cat>
            <c:strRef>
              <c:f>Sheet1!$A$21:$A$28</c:f>
              <c:strCache>
                <c:ptCount val="8"/>
                <c:pt idx="0">
                  <c:v>Germany</c:v>
                </c:pt>
                <c:pt idx="1">
                  <c:v>Denmark</c:v>
                </c:pt>
                <c:pt idx="2">
                  <c:v>Greece</c:v>
                </c:pt>
                <c:pt idx="3">
                  <c:v>France</c:v>
                </c:pt>
                <c:pt idx="4">
                  <c:v>Italy</c:v>
                </c:pt>
                <c:pt idx="5">
                  <c:v>Sweden</c:v>
                </c:pt>
                <c:pt idx="6">
                  <c:v>Slovenia</c:v>
                </c:pt>
                <c:pt idx="7">
                  <c:v>UK</c:v>
                </c:pt>
              </c:strCache>
            </c:strRef>
          </c:cat>
          <c:val>
            <c:numRef>
              <c:f>Sheet1!$C$21:$C$28</c:f>
              <c:numCache>
                <c:formatCode>0%</c:formatCode>
                <c:ptCount val="8"/>
                <c:pt idx="0">
                  <c:v>0.52</c:v>
                </c:pt>
                <c:pt idx="1">
                  <c:v>0.4200000000000001</c:v>
                </c:pt>
                <c:pt idx="2">
                  <c:v>0.67000000000000026</c:v>
                </c:pt>
                <c:pt idx="3">
                  <c:v>0.47000000000000008</c:v>
                </c:pt>
                <c:pt idx="4">
                  <c:v>0.41000000000000009</c:v>
                </c:pt>
                <c:pt idx="5">
                  <c:v>0.29000000000000009</c:v>
                </c:pt>
                <c:pt idx="6">
                  <c:v>0.54</c:v>
                </c:pt>
                <c:pt idx="7">
                  <c:v>0.55000000000000004</c:v>
                </c:pt>
              </c:numCache>
            </c:numRef>
          </c:val>
        </c:ser>
        <c:ser>
          <c:idx val="2"/>
          <c:order val="2"/>
          <c:tx>
            <c:strRef>
              <c:f>Sheet1!$D$20</c:f>
              <c:strCache>
                <c:ptCount val="1"/>
                <c:pt idx="0">
                  <c:v>It depends</c:v>
                </c:pt>
              </c:strCache>
            </c:strRef>
          </c:tx>
          <c:spPr>
            <a:solidFill>
              <a:schemeClr val="bg1">
                <a:lumMod val="85000"/>
              </a:schemeClr>
            </a:solidFill>
          </c:spPr>
          <c:invertIfNegative val="0"/>
          <c:cat>
            <c:strRef>
              <c:f>Sheet1!$A$21:$A$28</c:f>
              <c:strCache>
                <c:ptCount val="8"/>
                <c:pt idx="0">
                  <c:v>Germany</c:v>
                </c:pt>
                <c:pt idx="1">
                  <c:v>Denmark</c:v>
                </c:pt>
                <c:pt idx="2">
                  <c:v>Greece</c:v>
                </c:pt>
                <c:pt idx="3">
                  <c:v>France</c:v>
                </c:pt>
                <c:pt idx="4">
                  <c:v>Italy</c:v>
                </c:pt>
                <c:pt idx="5">
                  <c:v>Sweden</c:v>
                </c:pt>
                <c:pt idx="6">
                  <c:v>Slovenia</c:v>
                </c:pt>
                <c:pt idx="7">
                  <c:v>UK</c:v>
                </c:pt>
              </c:strCache>
            </c:strRef>
          </c:cat>
          <c:val>
            <c:numRef>
              <c:f>Sheet1!$D$21:$D$28</c:f>
              <c:numCache>
                <c:formatCode>0%</c:formatCode>
                <c:ptCount val="8"/>
                <c:pt idx="0">
                  <c:v>0.16</c:v>
                </c:pt>
                <c:pt idx="1">
                  <c:v>4.0000000000000015E-2</c:v>
                </c:pt>
                <c:pt idx="2">
                  <c:v>7.0000000000000021E-2</c:v>
                </c:pt>
                <c:pt idx="3">
                  <c:v>4.0000000000000015E-2</c:v>
                </c:pt>
                <c:pt idx="4">
                  <c:v>0.16</c:v>
                </c:pt>
                <c:pt idx="5">
                  <c:v>6.0000000000000019E-2</c:v>
                </c:pt>
                <c:pt idx="6">
                  <c:v>9.0000000000000024E-2</c:v>
                </c:pt>
                <c:pt idx="7">
                  <c:v>9.0000000000000024E-2</c:v>
                </c:pt>
              </c:numCache>
            </c:numRef>
          </c:val>
        </c:ser>
        <c:dLbls>
          <c:showLegendKey val="0"/>
          <c:showVal val="0"/>
          <c:showCatName val="0"/>
          <c:showSerName val="0"/>
          <c:showPercent val="0"/>
          <c:showBubbleSize val="0"/>
        </c:dLbls>
        <c:gapWidth val="150"/>
        <c:axId val="312214696"/>
        <c:axId val="257233784"/>
      </c:barChart>
      <c:catAx>
        <c:axId val="312214696"/>
        <c:scaling>
          <c:orientation val="minMax"/>
        </c:scaling>
        <c:delete val="0"/>
        <c:axPos val="b"/>
        <c:numFmt formatCode="General" sourceLinked="0"/>
        <c:majorTickMark val="out"/>
        <c:minorTickMark val="none"/>
        <c:tickLblPos val="nextTo"/>
        <c:crossAx val="257233784"/>
        <c:crosses val="autoZero"/>
        <c:auto val="1"/>
        <c:lblAlgn val="ctr"/>
        <c:lblOffset val="100"/>
        <c:noMultiLvlLbl val="0"/>
      </c:catAx>
      <c:valAx>
        <c:axId val="257233784"/>
        <c:scaling>
          <c:orientation val="minMax"/>
        </c:scaling>
        <c:delete val="0"/>
        <c:axPos val="l"/>
        <c:majorGridlines/>
        <c:numFmt formatCode="0%" sourceLinked="1"/>
        <c:majorTickMark val="out"/>
        <c:minorTickMark val="none"/>
        <c:tickLblPos val="nextTo"/>
        <c:crossAx val="312214696"/>
        <c:crosses val="autoZero"/>
        <c:crossBetween val="between"/>
      </c:valAx>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Sheet1!$B$6</c:f>
              <c:strCache>
                <c:ptCount val="1"/>
                <c:pt idx="0">
                  <c:v>2010-20</c:v>
                </c:pt>
              </c:strCache>
            </c:strRef>
          </c:tx>
          <c:invertIfNegative val="0"/>
          <c:cat>
            <c:strRef>
              <c:f>Sheet1!$A$7:$A$20</c:f>
              <c:strCache>
                <c:ptCount val="14"/>
                <c:pt idx="0">
                  <c:v>Belgium</c:v>
                </c:pt>
                <c:pt idx="1">
                  <c:v>Netherlands</c:v>
                </c:pt>
                <c:pt idx="2">
                  <c:v>Ireland</c:v>
                </c:pt>
                <c:pt idx="3">
                  <c:v>Germany</c:v>
                </c:pt>
                <c:pt idx="4">
                  <c:v>Austria</c:v>
                </c:pt>
                <c:pt idx="5">
                  <c:v>Hungary</c:v>
                </c:pt>
                <c:pt idx="6">
                  <c:v>Spain</c:v>
                </c:pt>
                <c:pt idx="7">
                  <c:v>EU27</c:v>
                </c:pt>
                <c:pt idx="8">
                  <c:v>Sweden</c:v>
                </c:pt>
                <c:pt idx="9">
                  <c:v>UK</c:v>
                </c:pt>
                <c:pt idx="10">
                  <c:v>France</c:v>
                </c:pt>
                <c:pt idx="11">
                  <c:v>Greece</c:v>
                </c:pt>
                <c:pt idx="12">
                  <c:v>Poland</c:v>
                </c:pt>
                <c:pt idx="13">
                  <c:v>Italy</c:v>
                </c:pt>
              </c:strCache>
            </c:strRef>
          </c:cat>
          <c:val>
            <c:numRef>
              <c:f>Sheet1!$B$7:$B$20</c:f>
              <c:numCache>
                <c:formatCode>General</c:formatCode>
                <c:ptCount val="14"/>
                <c:pt idx="0">
                  <c:v>2.7</c:v>
                </c:pt>
                <c:pt idx="1">
                  <c:v>1.4</c:v>
                </c:pt>
                <c:pt idx="2">
                  <c:v>3.1</c:v>
                </c:pt>
                <c:pt idx="3">
                  <c:v>0.5</c:v>
                </c:pt>
                <c:pt idx="4">
                  <c:v>1.4</c:v>
                </c:pt>
                <c:pt idx="5">
                  <c:v>-0.3000000000000001</c:v>
                </c:pt>
                <c:pt idx="6">
                  <c:v>1</c:v>
                </c:pt>
                <c:pt idx="7">
                  <c:v>0.3000000000000001</c:v>
                </c:pt>
                <c:pt idx="8">
                  <c:v>0.3000000000000001</c:v>
                </c:pt>
                <c:pt idx="9">
                  <c:v>0</c:v>
                </c:pt>
                <c:pt idx="10">
                  <c:v>0.3000000000000001</c:v>
                </c:pt>
                <c:pt idx="11">
                  <c:v>0.2</c:v>
                </c:pt>
                <c:pt idx="12">
                  <c:v>-0.6000000000000002</c:v>
                </c:pt>
                <c:pt idx="13">
                  <c:v>-1.2</c:v>
                </c:pt>
              </c:numCache>
            </c:numRef>
          </c:val>
        </c:ser>
        <c:ser>
          <c:idx val="1"/>
          <c:order val="1"/>
          <c:tx>
            <c:strRef>
              <c:f>Sheet1!$C$6</c:f>
              <c:strCache>
                <c:ptCount val="1"/>
                <c:pt idx="0">
                  <c:v>2010-60</c:v>
                </c:pt>
              </c:strCache>
            </c:strRef>
          </c:tx>
          <c:invertIfNegative val="0"/>
          <c:cat>
            <c:strRef>
              <c:f>Sheet1!$A$7:$A$20</c:f>
              <c:strCache>
                <c:ptCount val="14"/>
                <c:pt idx="0">
                  <c:v>Belgium</c:v>
                </c:pt>
                <c:pt idx="1">
                  <c:v>Netherlands</c:v>
                </c:pt>
                <c:pt idx="2">
                  <c:v>Ireland</c:v>
                </c:pt>
                <c:pt idx="3">
                  <c:v>Germany</c:v>
                </c:pt>
                <c:pt idx="4">
                  <c:v>Austria</c:v>
                </c:pt>
                <c:pt idx="5">
                  <c:v>Hungary</c:v>
                </c:pt>
                <c:pt idx="6">
                  <c:v>Spain</c:v>
                </c:pt>
                <c:pt idx="7">
                  <c:v>EU27</c:v>
                </c:pt>
                <c:pt idx="8">
                  <c:v>Sweden</c:v>
                </c:pt>
                <c:pt idx="9">
                  <c:v>UK</c:v>
                </c:pt>
                <c:pt idx="10">
                  <c:v>France</c:v>
                </c:pt>
                <c:pt idx="11">
                  <c:v>Greece</c:v>
                </c:pt>
                <c:pt idx="12">
                  <c:v>Poland</c:v>
                </c:pt>
                <c:pt idx="13">
                  <c:v>Italy</c:v>
                </c:pt>
              </c:strCache>
            </c:strRef>
          </c:cat>
          <c:val>
            <c:numRef>
              <c:f>Sheet1!$C$7:$C$20</c:f>
              <c:numCache>
                <c:formatCode>General</c:formatCode>
                <c:ptCount val="14"/>
                <c:pt idx="0">
                  <c:v>10.3</c:v>
                </c:pt>
                <c:pt idx="1">
                  <c:v>8.8000000000000007</c:v>
                </c:pt>
                <c:pt idx="2">
                  <c:v>6.7</c:v>
                </c:pt>
                <c:pt idx="3">
                  <c:v>6</c:v>
                </c:pt>
                <c:pt idx="4">
                  <c:v>6</c:v>
                </c:pt>
                <c:pt idx="5">
                  <c:v>4.8</c:v>
                </c:pt>
                <c:pt idx="6">
                  <c:v>4.7</c:v>
                </c:pt>
                <c:pt idx="7">
                  <c:v>4.5</c:v>
                </c:pt>
                <c:pt idx="8">
                  <c:v>4.3</c:v>
                </c:pt>
                <c:pt idx="9">
                  <c:v>4</c:v>
                </c:pt>
                <c:pt idx="10">
                  <c:v>3.9</c:v>
                </c:pt>
                <c:pt idx="11">
                  <c:v>3.8</c:v>
                </c:pt>
                <c:pt idx="12">
                  <c:v>1.8</c:v>
                </c:pt>
                <c:pt idx="13">
                  <c:v>0.4</c:v>
                </c:pt>
              </c:numCache>
            </c:numRef>
          </c:val>
        </c:ser>
        <c:dLbls>
          <c:showLegendKey val="0"/>
          <c:showVal val="0"/>
          <c:showCatName val="0"/>
          <c:showSerName val="0"/>
          <c:showPercent val="0"/>
          <c:showBubbleSize val="0"/>
        </c:dLbls>
        <c:gapWidth val="150"/>
        <c:axId val="317608392"/>
        <c:axId val="254504600"/>
      </c:barChart>
      <c:catAx>
        <c:axId val="317608392"/>
        <c:scaling>
          <c:orientation val="minMax"/>
        </c:scaling>
        <c:delete val="0"/>
        <c:axPos val="b"/>
        <c:numFmt formatCode="General" sourceLinked="0"/>
        <c:majorTickMark val="out"/>
        <c:minorTickMark val="none"/>
        <c:tickLblPos val="nextTo"/>
        <c:crossAx val="254504600"/>
        <c:crosses val="autoZero"/>
        <c:auto val="1"/>
        <c:lblAlgn val="ctr"/>
        <c:lblOffset val="100"/>
        <c:noMultiLvlLbl val="0"/>
      </c:catAx>
      <c:valAx>
        <c:axId val="254504600"/>
        <c:scaling>
          <c:orientation val="minMax"/>
        </c:scaling>
        <c:delete val="0"/>
        <c:axPos val="l"/>
        <c:majorGridlines/>
        <c:numFmt formatCode="General" sourceLinked="1"/>
        <c:majorTickMark val="out"/>
        <c:minorTickMark val="none"/>
        <c:tickLblPos val="nextTo"/>
        <c:crossAx val="317608392"/>
        <c:crosses val="autoZero"/>
        <c:crossBetween val="between"/>
      </c:valAx>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Data!$A$10</c:f>
              <c:strCache>
                <c:ptCount val="1"/>
                <c:pt idx="0">
                  <c:v>EU 28</c:v>
                </c:pt>
              </c:strCache>
            </c:strRef>
          </c:tx>
          <c:marker>
            <c:symbol val="none"/>
          </c:marker>
          <c:cat>
            <c:strRef>
              <c:f>Data!$B$9:$J$9</c:f>
              <c:strCache>
                <c:ptCount val="9"/>
                <c:pt idx="0">
                  <c:v>2005</c:v>
                </c:pt>
                <c:pt idx="1">
                  <c:v>2006</c:v>
                </c:pt>
                <c:pt idx="2">
                  <c:v>2007</c:v>
                </c:pt>
                <c:pt idx="3">
                  <c:v>2008</c:v>
                </c:pt>
                <c:pt idx="4">
                  <c:v>2009</c:v>
                </c:pt>
                <c:pt idx="5">
                  <c:v>2010</c:v>
                </c:pt>
                <c:pt idx="6">
                  <c:v>2011</c:v>
                </c:pt>
                <c:pt idx="7">
                  <c:v>2012</c:v>
                </c:pt>
                <c:pt idx="8">
                  <c:v>2013</c:v>
                </c:pt>
              </c:strCache>
            </c:strRef>
          </c:cat>
          <c:val>
            <c:numRef>
              <c:f>Data!$B$10:$J$10</c:f>
              <c:numCache>
                <c:formatCode>General</c:formatCode>
                <c:ptCount val="9"/>
                <c:pt idx="5" formatCode="#,##0.0">
                  <c:v>30.4</c:v>
                </c:pt>
                <c:pt idx="6" formatCode="#,##0.0">
                  <c:v>30.8</c:v>
                </c:pt>
                <c:pt idx="7" formatCode="#,##0.0">
                  <c:v>30.4</c:v>
                </c:pt>
                <c:pt idx="8" formatCode="#,##0.0">
                  <c:v>30.5</c:v>
                </c:pt>
              </c:numCache>
            </c:numRef>
          </c:val>
          <c:smooth val="0"/>
        </c:ser>
        <c:ser>
          <c:idx val="1"/>
          <c:order val="1"/>
          <c:tx>
            <c:strRef>
              <c:f>Data!$A$11</c:f>
              <c:strCache>
                <c:ptCount val="1"/>
                <c:pt idx="0">
                  <c:v>Denmark</c:v>
                </c:pt>
              </c:strCache>
            </c:strRef>
          </c:tx>
          <c:marker>
            <c:symbol val="none"/>
          </c:marker>
          <c:cat>
            <c:strRef>
              <c:f>Data!$B$9:$J$9</c:f>
              <c:strCache>
                <c:ptCount val="9"/>
                <c:pt idx="0">
                  <c:v>2005</c:v>
                </c:pt>
                <c:pt idx="1">
                  <c:v>2006</c:v>
                </c:pt>
                <c:pt idx="2">
                  <c:v>2007</c:v>
                </c:pt>
                <c:pt idx="3">
                  <c:v>2008</c:v>
                </c:pt>
                <c:pt idx="4">
                  <c:v>2009</c:v>
                </c:pt>
                <c:pt idx="5">
                  <c:v>2010</c:v>
                </c:pt>
                <c:pt idx="6">
                  <c:v>2011</c:v>
                </c:pt>
                <c:pt idx="7">
                  <c:v>2012</c:v>
                </c:pt>
                <c:pt idx="8">
                  <c:v>2013</c:v>
                </c:pt>
              </c:strCache>
            </c:strRef>
          </c:cat>
          <c:val>
            <c:numRef>
              <c:f>Data!$B$11:$J$11</c:f>
              <c:numCache>
                <c:formatCode>#,##0.0</c:formatCode>
                <c:ptCount val="9"/>
                <c:pt idx="0">
                  <c:v>23.9</c:v>
                </c:pt>
                <c:pt idx="1">
                  <c:v>23.7</c:v>
                </c:pt>
                <c:pt idx="2">
                  <c:v>25.2</c:v>
                </c:pt>
                <c:pt idx="3">
                  <c:v>25.1</c:v>
                </c:pt>
                <c:pt idx="4">
                  <c:v>26.9</c:v>
                </c:pt>
                <c:pt idx="5">
                  <c:v>26.9</c:v>
                </c:pt>
                <c:pt idx="6">
                  <c:v>27.8</c:v>
                </c:pt>
                <c:pt idx="7">
                  <c:v>28.1</c:v>
                </c:pt>
                <c:pt idx="8">
                  <c:v>27.5</c:v>
                </c:pt>
              </c:numCache>
            </c:numRef>
          </c:val>
          <c:smooth val="0"/>
        </c:ser>
        <c:ser>
          <c:idx val="2"/>
          <c:order val="2"/>
          <c:tx>
            <c:strRef>
              <c:f>Data!$A$12</c:f>
              <c:strCache>
                <c:ptCount val="1"/>
                <c:pt idx="0">
                  <c:v>Germany</c:v>
                </c:pt>
              </c:strCache>
            </c:strRef>
          </c:tx>
          <c:marker>
            <c:symbol val="none"/>
          </c:marker>
          <c:cat>
            <c:strRef>
              <c:f>Data!$B$9:$J$9</c:f>
              <c:strCache>
                <c:ptCount val="9"/>
                <c:pt idx="0">
                  <c:v>2005</c:v>
                </c:pt>
                <c:pt idx="1">
                  <c:v>2006</c:v>
                </c:pt>
                <c:pt idx="2">
                  <c:v>2007</c:v>
                </c:pt>
                <c:pt idx="3">
                  <c:v>2008</c:v>
                </c:pt>
                <c:pt idx="4">
                  <c:v>2009</c:v>
                </c:pt>
                <c:pt idx="5">
                  <c:v>2010</c:v>
                </c:pt>
                <c:pt idx="6">
                  <c:v>2011</c:v>
                </c:pt>
                <c:pt idx="7">
                  <c:v>2012</c:v>
                </c:pt>
                <c:pt idx="8">
                  <c:v>2013</c:v>
                </c:pt>
              </c:strCache>
            </c:strRef>
          </c:cat>
          <c:val>
            <c:numRef>
              <c:f>Data!$B$12:$J$12</c:f>
              <c:numCache>
                <c:formatCode>#,##0.0</c:formatCode>
                <c:ptCount val="9"/>
                <c:pt idx="0">
                  <c:v>26.1</c:v>
                </c:pt>
                <c:pt idx="1">
                  <c:v>26.8</c:v>
                </c:pt>
                <c:pt idx="2">
                  <c:v>30.4</c:v>
                </c:pt>
                <c:pt idx="3">
                  <c:v>30.2</c:v>
                </c:pt>
                <c:pt idx="4">
                  <c:v>29.1</c:v>
                </c:pt>
                <c:pt idx="5">
                  <c:v>29.3</c:v>
                </c:pt>
                <c:pt idx="6">
                  <c:v>29</c:v>
                </c:pt>
                <c:pt idx="7">
                  <c:v>28.3</c:v>
                </c:pt>
                <c:pt idx="8">
                  <c:v>29.7</c:v>
                </c:pt>
              </c:numCache>
            </c:numRef>
          </c:val>
          <c:smooth val="0"/>
        </c:ser>
        <c:ser>
          <c:idx val="3"/>
          <c:order val="3"/>
          <c:tx>
            <c:strRef>
              <c:f>Data!$A$13</c:f>
              <c:strCache>
                <c:ptCount val="1"/>
                <c:pt idx="0">
                  <c:v>Greece</c:v>
                </c:pt>
              </c:strCache>
            </c:strRef>
          </c:tx>
          <c:marker>
            <c:symbol val="none"/>
          </c:marker>
          <c:cat>
            <c:strRef>
              <c:f>Data!$B$9:$J$9</c:f>
              <c:strCache>
                <c:ptCount val="9"/>
                <c:pt idx="0">
                  <c:v>2005</c:v>
                </c:pt>
                <c:pt idx="1">
                  <c:v>2006</c:v>
                </c:pt>
                <c:pt idx="2">
                  <c:v>2007</c:v>
                </c:pt>
                <c:pt idx="3">
                  <c:v>2008</c:v>
                </c:pt>
                <c:pt idx="4">
                  <c:v>2009</c:v>
                </c:pt>
                <c:pt idx="5">
                  <c:v>2010</c:v>
                </c:pt>
                <c:pt idx="6">
                  <c:v>2011</c:v>
                </c:pt>
                <c:pt idx="7">
                  <c:v>2012</c:v>
                </c:pt>
                <c:pt idx="8">
                  <c:v>2013</c:v>
                </c:pt>
              </c:strCache>
            </c:strRef>
          </c:cat>
          <c:val>
            <c:numRef>
              <c:f>Data!$B$13:$J$13</c:f>
              <c:numCache>
                <c:formatCode>#,##0.0</c:formatCode>
                <c:ptCount val="9"/>
                <c:pt idx="0">
                  <c:v>33.200000000000003</c:v>
                </c:pt>
                <c:pt idx="1">
                  <c:v>34.300000000000011</c:v>
                </c:pt>
                <c:pt idx="2">
                  <c:v>34.300000000000011</c:v>
                </c:pt>
                <c:pt idx="3">
                  <c:v>33.4</c:v>
                </c:pt>
                <c:pt idx="4">
                  <c:v>33.1</c:v>
                </c:pt>
                <c:pt idx="5">
                  <c:v>32.9</c:v>
                </c:pt>
                <c:pt idx="6">
                  <c:v>33.5</c:v>
                </c:pt>
                <c:pt idx="7">
                  <c:v>34.300000000000011</c:v>
                </c:pt>
                <c:pt idx="8">
                  <c:v>34.4</c:v>
                </c:pt>
              </c:numCache>
            </c:numRef>
          </c:val>
          <c:smooth val="0"/>
        </c:ser>
        <c:ser>
          <c:idx val="4"/>
          <c:order val="4"/>
          <c:tx>
            <c:strRef>
              <c:f>Data!$A$14</c:f>
              <c:strCache>
                <c:ptCount val="1"/>
                <c:pt idx="0">
                  <c:v>Spain</c:v>
                </c:pt>
              </c:strCache>
            </c:strRef>
          </c:tx>
          <c:marker>
            <c:symbol val="none"/>
          </c:marker>
          <c:cat>
            <c:strRef>
              <c:f>Data!$B$9:$J$9</c:f>
              <c:strCache>
                <c:ptCount val="9"/>
                <c:pt idx="0">
                  <c:v>2005</c:v>
                </c:pt>
                <c:pt idx="1">
                  <c:v>2006</c:v>
                </c:pt>
                <c:pt idx="2">
                  <c:v>2007</c:v>
                </c:pt>
                <c:pt idx="3">
                  <c:v>2008</c:v>
                </c:pt>
                <c:pt idx="4">
                  <c:v>2009</c:v>
                </c:pt>
                <c:pt idx="5">
                  <c:v>2010</c:v>
                </c:pt>
                <c:pt idx="6">
                  <c:v>2011</c:v>
                </c:pt>
                <c:pt idx="7">
                  <c:v>2012</c:v>
                </c:pt>
                <c:pt idx="8">
                  <c:v>2013</c:v>
                </c:pt>
              </c:strCache>
            </c:strRef>
          </c:cat>
          <c:val>
            <c:numRef>
              <c:f>Data!$B$14:$J$14</c:f>
              <c:numCache>
                <c:formatCode>#,##0.0</c:formatCode>
                <c:ptCount val="9"/>
                <c:pt idx="0">
                  <c:v>32.200000000000003</c:v>
                </c:pt>
                <c:pt idx="1">
                  <c:v>31.9</c:v>
                </c:pt>
                <c:pt idx="2">
                  <c:v>31.9</c:v>
                </c:pt>
                <c:pt idx="3">
                  <c:v>31.9</c:v>
                </c:pt>
                <c:pt idx="4">
                  <c:v>32.9</c:v>
                </c:pt>
                <c:pt idx="5">
                  <c:v>33.5</c:v>
                </c:pt>
                <c:pt idx="6">
                  <c:v>34</c:v>
                </c:pt>
                <c:pt idx="7">
                  <c:v>34.200000000000003</c:v>
                </c:pt>
                <c:pt idx="8">
                  <c:v>33.700000000000003</c:v>
                </c:pt>
              </c:numCache>
            </c:numRef>
          </c:val>
          <c:smooth val="0"/>
        </c:ser>
        <c:ser>
          <c:idx val="5"/>
          <c:order val="5"/>
          <c:tx>
            <c:strRef>
              <c:f>Data!$A$15</c:f>
              <c:strCache>
                <c:ptCount val="1"/>
                <c:pt idx="0">
                  <c:v>France</c:v>
                </c:pt>
              </c:strCache>
            </c:strRef>
          </c:tx>
          <c:marker>
            <c:symbol val="none"/>
          </c:marker>
          <c:cat>
            <c:strRef>
              <c:f>Data!$B$9:$J$9</c:f>
              <c:strCache>
                <c:ptCount val="9"/>
                <c:pt idx="0">
                  <c:v>2005</c:v>
                </c:pt>
                <c:pt idx="1">
                  <c:v>2006</c:v>
                </c:pt>
                <c:pt idx="2">
                  <c:v>2007</c:v>
                </c:pt>
                <c:pt idx="3">
                  <c:v>2008</c:v>
                </c:pt>
                <c:pt idx="4">
                  <c:v>2009</c:v>
                </c:pt>
                <c:pt idx="5">
                  <c:v>2010</c:v>
                </c:pt>
                <c:pt idx="6">
                  <c:v>2011</c:v>
                </c:pt>
                <c:pt idx="7">
                  <c:v>2012</c:v>
                </c:pt>
                <c:pt idx="8">
                  <c:v>2013</c:v>
                </c:pt>
              </c:strCache>
            </c:strRef>
          </c:cat>
          <c:val>
            <c:numRef>
              <c:f>Data!$B$15:$J$15</c:f>
              <c:numCache>
                <c:formatCode>#,##0.0</c:formatCode>
                <c:ptCount val="9"/>
                <c:pt idx="0">
                  <c:v>27.7</c:v>
                </c:pt>
                <c:pt idx="1">
                  <c:v>27.3</c:v>
                </c:pt>
                <c:pt idx="2">
                  <c:v>26.6</c:v>
                </c:pt>
                <c:pt idx="3">
                  <c:v>29.8</c:v>
                </c:pt>
                <c:pt idx="4">
                  <c:v>29.9</c:v>
                </c:pt>
                <c:pt idx="5">
                  <c:v>29.8</c:v>
                </c:pt>
                <c:pt idx="6">
                  <c:v>30.8</c:v>
                </c:pt>
                <c:pt idx="7">
                  <c:v>30.5</c:v>
                </c:pt>
                <c:pt idx="8">
                  <c:v>30.1</c:v>
                </c:pt>
              </c:numCache>
            </c:numRef>
          </c:val>
          <c:smooth val="0"/>
        </c:ser>
        <c:ser>
          <c:idx val="6"/>
          <c:order val="6"/>
          <c:tx>
            <c:strRef>
              <c:f>Data!$A$16</c:f>
              <c:strCache>
                <c:ptCount val="1"/>
                <c:pt idx="0">
                  <c:v>Italy</c:v>
                </c:pt>
              </c:strCache>
            </c:strRef>
          </c:tx>
          <c:marker>
            <c:symbol val="none"/>
          </c:marker>
          <c:cat>
            <c:strRef>
              <c:f>Data!$B$9:$J$9</c:f>
              <c:strCache>
                <c:ptCount val="9"/>
                <c:pt idx="0">
                  <c:v>2005</c:v>
                </c:pt>
                <c:pt idx="1">
                  <c:v>2006</c:v>
                </c:pt>
                <c:pt idx="2">
                  <c:v>2007</c:v>
                </c:pt>
                <c:pt idx="3">
                  <c:v>2008</c:v>
                </c:pt>
                <c:pt idx="4">
                  <c:v>2009</c:v>
                </c:pt>
                <c:pt idx="5">
                  <c:v>2010</c:v>
                </c:pt>
                <c:pt idx="6">
                  <c:v>2011</c:v>
                </c:pt>
                <c:pt idx="7">
                  <c:v>2012</c:v>
                </c:pt>
                <c:pt idx="8">
                  <c:v>2013</c:v>
                </c:pt>
              </c:strCache>
            </c:strRef>
          </c:cat>
          <c:val>
            <c:numRef>
              <c:f>Data!$B$16:$J$16</c:f>
              <c:numCache>
                <c:formatCode>#,##0.0</c:formatCode>
                <c:ptCount val="9"/>
                <c:pt idx="0">
                  <c:v>32.800000000000011</c:v>
                </c:pt>
                <c:pt idx="1">
                  <c:v>32.1</c:v>
                </c:pt>
                <c:pt idx="2">
                  <c:v>32.200000000000003</c:v>
                </c:pt>
                <c:pt idx="3">
                  <c:v>31</c:v>
                </c:pt>
                <c:pt idx="4">
                  <c:v>31.5</c:v>
                </c:pt>
                <c:pt idx="5">
                  <c:v>31.2</c:v>
                </c:pt>
                <c:pt idx="6">
                  <c:v>31.9</c:v>
                </c:pt>
                <c:pt idx="7">
                  <c:v>31.9</c:v>
                </c:pt>
                <c:pt idx="8">
                  <c:v>32.5</c:v>
                </c:pt>
              </c:numCache>
            </c:numRef>
          </c:val>
          <c:smooth val="0"/>
        </c:ser>
        <c:ser>
          <c:idx val="7"/>
          <c:order val="7"/>
          <c:tx>
            <c:strRef>
              <c:f>Data!$A$17</c:f>
              <c:strCache>
                <c:ptCount val="1"/>
                <c:pt idx="0">
                  <c:v>Slovenia</c:v>
                </c:pt>
              </c:strCache>
            </c:strRef>
          </c:tx>
          <c:marker>
            <c:symbol val="none"/>
          </c:marker>
          <c:cat>
            <c:strRef>
              <c:f>Data!$B$9:$J$9</c:f>
              <c:strCache>
                <c:ptCount val="9"/>
                <c:pt idx="0">
                  <c:v>2005</c:v>
                </c:pt>
                <c:pt idx="1">
                  <c:v>2006</c:v>
                </c:pt>
                <c:pt idx="2">
                  <c:v>2007</c:v>
                </c:pt>
                <c:pt idx="3">
                  <c:v>2008</c:v>
                </c:pt>
                <c:pt idx="4">
                  <c:v>2009</c:v>
                </c:pt>
                <c:pt idx="5">
                  <c:v>2010</c:v>
                </c:pt>
                <c:pt idx="6">
                  <c:v>2011</c:v>
                </c:pt>
                <c:pt idx="7">
                  <c:v>2012</c:v>
                </c:pt>
                <c:pt idx="8">
                  <c:v>2013</c:v>
                </c:pt>
              </c:strCache>
            </c:strRef>
          </c:cat>
          <c:val>
            <c:numRef>
              <c:f>Data!$B$17:$J$17</c:f>
              <c:numCache>
                <c:formatCode>#,##0.0</c:formatCode>
                <c:ptCount val="9"/>
                <c:pt idx="0">
                  <c:v>23.8</c:v>
                </c:pt>
                <c:pt idx="1">
                  <c:v>23.7</c:v>
                </c:pt>
                <c:pt idx="2">
                  <c:v>23.2</c:v>
                </c:pt>
                <c:pt idx="3">
                  <c:v>23.4</c:v>
                </c:pt>
                <c:pt idx="4">
                  <c:v>22.7</c:v>
                </c:pt>
                <c:pt idx="5">
                  <c:v>23.8</c:v>
                </c:pt>
                <c:pt idx="6">
                  <c:v>23.8</c:v>
                </c:pt>
                <c:pt idx="7">
                  <c:v>23.7</c:v>
                </c:pt>
                <c:pt idx="8">
                  <c:v>24.4</c:v>
                </c:pt>
              </c:numCache>
            </c:numRef>
          </c:val>
          <c:smooth val="0"/>
        </c:ser>
        <c:ser>
          <c:idx val="8"/>
          <c:order val="8"/>
          <c:tx>
            <c:strRef>
              <c:f>Data!$A$18</c:f>
              <c:strCache>
                <c:ptCount val="1"/>
                <c:pt idx="0">
                  <c:v>Sweden</c:v>
                </c:pt>
              </c:strCache>
            </c:strRef>
          </c:tx>
          <c:marker>
            <c:symbol val="none"/>
          </c:marker>
          <c:cat>
            <c:strRef>
              <c:f>Data!$B$9:$J$9</c:f>
              <c:strCache>
                <c:ptCount val="9"/>
                <c:pt idx="0">
                  <c:v>2005</c:v>
                </c:pt>
                <c:pt idx="1">
                  <c:v>2006</c:v>
                </c:pt>
                <c:pt idx="2">
                  <c:v>2007</c:v>
                </c:pt>
                <c:pt idx="3">
                  <c:v>2008</c:v>
                </c:pt>
                <c:pt idx="4">
                  <c:v>2009</c:v>
                </c:pt>
                <c:pt idx="5">
                  <c:v>2010</c:v>
                </c:pt>
                <c:pt idx="6">
                  <c:v>2011</c:v>
                </c:pt>
                <c:pt idx="7">
                  <c:v>2012</c:v>
                </c:pt>
                <c:pt idx="8">
                  <c:v>2013</c:v>
                </c:pt>
              </c:strCache>
            </c:strRef>
          </c:cat>
          <c:val>
            <c:numRef>
              <c:f>Data!$B$18:$J$18</c:f>
              <c:numCache>
                <c:formatCode>#,##0.0</c:formatCode>
                <c:ptCount val="9"/>
                <c:pt idx="0">
                  <c:v>23.4</c:v>
                </c:pt>
                <c:pt idx="1">
                  <c:v>24</c:v>
                </c:pt>
                <c:pt idx="2">
                  <c:v>23.4</c:v>
                </c:pt>
                <c:pt idx="3">
                  <c:v>24</c:v>
                </c:pt>
                <c:pt idx="4">
                  <c:v>24.8</c:v>
                </c:pt>
                <c:pt idx="5">
                  <c:v>24.1</c:v>
                </c:pt>
                <c:pt idx="6">
                  <c:v>24.4</c:v>
                </c:pt>
                <c:pt idx="7">
                  <c:v>24.8</c:v>
                </c:pt>
                <c:pt idx="8">
                  <c:v>24.9</c:v>
                </c:pt>
              </c:numCache>
            </c:numRef>
          </c:val>
          <c:smooth val="0"/>
        </c:ser>
        <c:ser>
          <c:idx val="9"/>
          <c:order val="9"/>
          <c:tx>
            <c:strRef>
              <c:f>Data!$A$19</c:f>
              <c:strCache>
                <c:ptCount val="1"/>
                <c:pt idx="0">
                  <c:v>UK</c:v>
                </c:pt>
              </c:strCache>
            </c:strRef>
          </c:tx>
          <c:marker>
            <c:symbol val="none"/>
          </c:marker>
          <c:cat>
            <c:strRef>
              <c:f>Data!$B$9:$J$9</c:f>
              <c:strCache>
                <c:ptCount val="9"/>
                <c:pt idx="0">
                  <c:v>2005</c:v>
                </c:pt>
                <c:pt idx="1">
                  <c:v>2006</c:v>
                </c:pt>
                <c:pt idx="2">
                  <c:v>2007</c:v>
                </c:pt>
                <c:pt idx="3">
                  <c:v>2008</c:v>
                </c:pt>
                <c:pt idx="4">
                  <c:v>2009</c:v>
                </c:pt>
                <c:pt idx="5">
                  <c:v>2010</c:v>
                </c:pt>
                <c:pt idx="6">
                  <c:v>2011</c:v>
                </c:pt>
                <c:pt idx="7">
                  <c:v>2012</c:v>
                </c:pt>
                <c:pt idx="8">
                  <c:v>2013</c:v>
                </c:pt>
              </c:strCache>
            </c:strRef>
          </c:cat>
          <c:val>
            <c:numRef>
              <c:f>Data!$B$19:$J$19</c:f>
              <c:numCache>
                <c:formatCode>#,##0.0</c:formatCode>
                <c:ptCount val="9"/>
                <c:pt idx="0">
                  <c:v>34.6</c:v>
                </c:pt>
                <c:pt idx="1">
                  <c:v>32.5</c:v>
                </c:pt>
                <c:pt idx="2">
                  <c:v>32.6</c:v>
                </c:pt>
                <c:pt idx="3">
                  <c:v>33.9</c:v>
                </c:pt>
                <c:pt idx="4">
                  <c:v>32.4</c:v>
                </c:pt>
                <c:pt idx="5">
                  <c:v>32.9</c:v>
                </c:pt>
                <c:pt idx="6">
                  <c:v>33</c:v>
                </c:pt>
                <c:pt idx="7">
                  <c:v>31.3</c:v>
                </c:pt>
                <c:pt idx="8">
                  <c:v>30.2</c:v>
                </c:pt>
              </c:numCache>
            </c:numRef>
          </c:val>
          <c:smooth val="0"/>
        </c:ser>
        <c:dLbls>
          <c:showLegendKey val="0"/>
          <c:showVal val="0"/>
          <c:showCatName val="0"/>
          <c:showSerName val="0"/>
          <c:showPercent val="0"/>
          <c:showBubbleSize val="0"/>
        </c:dLbls>
        <c:smooth val="0"/>
        <c:axId val="256411424"/>
        <c:axId val="389293688"/>
      </c:lineChart>
      <c:catAx>
        <c:axId val="256411424"/>
        <c:scaling>
          <c:orientation val="minMax"/>
        </c:scaling>
        <c:delete val="0"/>
        <c:axPos val="b"/>
        <c:numFmt formatCode="General" sourceLinked="0"/>
        <c:majorTickMark val="out"/>
        <c:minorTickMark val="none"/>
        <c:tickLblPos val="nextTo"/>
        <c:crossAx val="389293688"/>
        <c:crosses val="autoZero"/>
        <c:auto val="1"/>
        <c:lblAlgn val="ctr"/>
        <c:lblOffset val="100"/>
        <c:noMultiLvlLbl val="0"/>
      </c:catAx>
      <c:valAx>
        <c:axId val="389293688"/>
        <c:scaling>
          <c:orientation val="minMax"/>
          <c:min val="15"/>
        </c:scaling>
        <c:delete val="0"/>
        <c:axPos val="l"/>
        <c:majorGridlines/>
        <c:numFmt formatCode="General" sourceLinked="1"/>
        <c:majorTickMark val="out"/>
        <c:minorTickMark val="none"/>
        <c:tickLblPos val="nextTo"/>
        <c:crossAx val="25641142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Sheet1!$B$6:$B$7</c:f>
              <c:strCache>
                <c:ptCount val="1"/>
                <c:pt idx="0">
                  <c:v>Not governments' responsibility at all</c:v>
                </c:pt>
              </c:strCache>
            </c:strRef>
          </c:tx>
          <c:invertIfNegative val="0"/>
          <c:cat>
            <c:strRef>
              <c:f>Sheet1!$A$8:$A$15</c:f>
              <c:strCache>
                <c:ptCount val="8"/>
                <c:pt idx="0">
                  <c:v>Germany</c:v>
                </c:pt>
                <c:pt idx="1">
                  <c:v>Denmark</c:v>
                </c:pt>
                <c:pt idx="2">
                  <c:v>France</c:v>
                </c:pt>
                <c:pt idx="3">
                  <c:v>United Kingdom</c:v>
                </c:pt>
                <c:pt idx="4">
                  <c:v>Greece</c:v>
                </c:pt>
                <c:pt idx="5">
                  <c:v>Norway</c:v>
                </c:pt>
                <c:pt idx="6">
                  <c:v>Sweden</c:v>
                </c:pt>
                <c:pt idx="7">
                  <c:v>Slovenia</c:v>
                </c:pt>
              </c:strCache>
            </c:strRef>
          </c:cat>
          <c:val>
            <c:numRef>
              <c:f>Sheet1!$B$8:$B$15</c:f>
            </c:numRef>
          </c:val>
        </c:ser>
        <c:ser>
          <c:idx val="1"/>
          <c:order val="1"/>
          <c:tx>
            <c:strRef>
              <c:f>Sheet1!$C$6:$C$7</c:f>
              <c:strCache>
                <c:ptCount val="1"/>
                <c:pt idx="0">
                  <c:v>01</c:v>
                </c:pt>
              </c:strCache>
            </c:strRef>
          </c:tx>
          <c:invertIfNegative val="0"/>
          <c:cat>
            <c:strRef>
              <c:f>Sheet1!$A$8:$A$15</c:f>
              <c:strCache>
                <c:ptCount val="8"/>
                <c:pt idx="0">
                  <c:v>Germany</c:v>
                </c:pt>
                <c:pt idx="1">
                  <c:v>Denmark</c:v>
                </c:pt>
                <c:pt idx="2">
                  <c:v>France</c:v>
                </c:pt>
                <c:pt idx="3">
                  <c:v>United Kingdom</c:v>
                </c:pt>
                <c:pt idx="4">
                  <c:v>Greece</c:v>
                </c:pt>
                <c:pt idx="5">
                  <c:v>Norway</c:v>
                </c:pt>
                <c:pt idx="6">
                  <c:v>Sweden</c:v>
                </c:pt>
                <c:pt idx="7">
                  <c:v>Slovenia</c:v>
                </c:pt>
              </c:strCache>
            </c:strRef>
          </c:cat>
          <c:val>
            <c:numRef>
              <c:f>Sheet1!$C$8:$C$15</c:f>
            </c:numRef>
          </c:val>
        </c:ser>
        <c:ser>
          <c:idx val="2"/>
          <c:order val="2"/>
          <c:tx>
            <c:strRef>
              <c:f>Sheet1!$D$6:$D$7</c:f>
              <c:strCache>
                <c:ptCount val="1"/>
                <c:pt idx="0">
                  <c:v>02</c:v>
                </c:pt>
              </c:strCache>
            </c:strRef>
          </c:tx>
          <c:invertIfNegative val="0"/>
          <c:cat>
            <c:strRef>
              <c:f>Sheet1!$A$8:$A$15</c:f>
              <c:strCache>
                <c:ptCount val="8"/>
                <c:pt idx="0">
                  <c:v>Germany</c:v>
                </c:pt>
                <c:pt idx="1">
                  <c:v>Denmark</c:v>
                </c:pt>
                <c:pt idx="2">
                  <c:v>France</c:v>
                </c:pt>
                <c:pt idx="3">
                  <c:v>United Kingdom</c:v>
                </c:pt>
                <c:pt idx="4">
                  <c:v>Greece</c:v>
                </c:pt>
                <c:pt idx="5">
                  <c:v>Norway</c:v>
                </c:pt>
                <c:pt idx="6">
                  <c:v>Sweden</c:v>
                </c:pt>
                <c:pt idx="7">
                  <c:v>Slovenia</c:v>
                </c:pt>
              </c:strCache>
            </c:strRef>
          </c:cat>
          <c:val>
            <c:numRef>
              <c:f>Sheet1!$D$8:$D$15</c:f>
            </c:numRef>
          </c:val>
        </c:ser>
        <c:ser>
          <c:idx val="3"/>
          <c:order val="3"/>
          <c:tx>
            <c:strRef>
              <c:f>Sheet1!$E$6:$E$7</c:f>
              <c:strCache>
                <c:ptCount val="1"/>
                <c:pt idx="0">
                  <c:v>03</c:v>
                </c:pt>
              </c:strCache>
            </c:strRef>
          </c:tx>
          <c:invertIfNegative val="0"/>
          <c:cat>
            <c:strRef>
              <c:f>Sheet1!$A$8:$A$15</c:f>
              <c:strCache>
                <c:ptCount val="8"/>
                <c:pt idx="0">
                  <c:v>Germany</c:v>
                </c:pt>
                <c:pt idx="1">
                  <c:v>Denmark</c:v>
                </c:pt>
                <c:pt idx="2">
                  <c:v>France</c:v>
                </c:pt>
                <c:pt idx="3">
                  <c:v>United Kingdom</c:v>
                </c:pt>
                <c:pt idx="4">
                  <c:v>Greece</c:v>
                </c:pt>
                <c:pt idx="5">
                  <c:v>Norway</c:v>
                </c:pt>
                <c:pt idx="6">
                  <c:v>Sweden</c:v>
                </c:pt>
                <c:pt idx="7">
                  <c:v>Slovenia</c:v>
                </c:pt>
              </c:strCache>
            </c:strRef>
          </c:cat>
          <c:val>
            <c:numRef>
              <c:f>Sheet1!$E$8:$E$15</c:f>
            </c:numRef>
          </c:val>
        </c:ser>
        <c:ser>
          <c:idx val="4"/>
          <c:order val="4"/>
          <c:tx>
            <c:strRef>
              <c:f>Sheet1!$F$6:$F$7</c:f>
              <c:strCache>
                <c:ptCount val="1"/>
                <c:pt idx="0">
                  <c:v>04</c:v>
                </c:pt>
              </c:strCache>
            </c:strRef>
          </c:tx>
          <c:invertIfNegative val="0"/>
          <c:cat>
            <c:strRef>
              <c:f>Sheet1!$A$8:$A$15</c:f>
              <c:strCache>
                <c:ptCount val="8"/>
                <c:pt idx="0">
                  <c:v>Germany</c:v>
                </c:pt>
                <c:pt idx="1">
                  <c:v>Denmark</c:v>
                </c:pt>
                <c:pt idx="2">
                  <c:v>France</c:v>
                </c:pt>
                <c:pt idx="3">
                  <c:v>United Kingdom</c:v>
                </c:pt>
                <c:pt idx="4">
                  <c:v>Greece</c:v>
                </c:pt>
                <c:pt idx="5">
                  <c:v>Norway</c:v>
                </c:pt>
                <c:pt idx="6">
                  <c:v>Sweden</c:v>
                </c:pt>
                <c:pt idx="7">
                  <c:v>Slovenia</c:v>
                </c:pt>
              </c:strCache>
            </c:strRef>
          </c:cat>
          <c:val>
            <c:numRef>
              <c:f>Sheet1!$F$8:$F$15</c:f>
            </c:numRef>
          </c:val>
        </c:ser>
        <c:ser>
          <c:idx val="5"/>
          <c:order val="5"/>
          <c:tx>
            <c:strRef>
              <c:f>Sheet1!$G$6:$G$7</c:f>
              <c:strCache>
                <c:ptCount val="1"/>
                <c:pt idx="0">
                  <c:v>05</c:v>
                </c:pt>
              </c:strCache>
            </c:strRef>
          </c:tx>
          <c:invertIfNegative val="0"/>
          <c:cat>
            <c:strRef>
              <c:f>Sheet1!$A$8:$A$15</c:f>
              <c:strCache>
                <c:ptCount val="8"/>
                <c:pt idx="0">
                  <c:v>Germany</c:v>
                </c:pt>
                <c:pt idx="1">
                  <c:v>Denmark</c:v>
                </c:pt>
                <c:pt idx="2">
                  <c:v>France</c:v>
                </c:pt>
                <c:pt idx="3">
                  <c:v>United Kingdom</c:v>
                </c:pt>
                <c:pt idx="4">
                  <c:v>Greece</c:v>
                </c:pt>
                <c:pt idx="5">
                  <c:v>Norway</c:v>
                </c:pt>
                <c:pt idx="6">
                  <c:v>Sweden</c:v>
                </c:pt>
                <c:pt idx="7">
                  <c:v>Slovenia</c:v>
                </c:pt>
              </c:strCache>
            </c:strRef>
          </c:cat>
          <c:val>
            <c:numRef>
              <c:f>Sheet1!$G$8:$G$15</c:f>
            </c:numRef>
          </c:val>
        </c:ser>
        <c:ser>
          <c:idx val="6"/>
          <c:order val="6"/>
          <c:tx>
            <c:strRef>
              <c:f>Sheet1!$H$6:$H$7</c:f>
              <c:strCache>
                <c:ptCount val="1"/>
                <c:pt idx="0">
                  <c:v>06</c:v>
                </c:pt>
              </c:strCache>
            </c:strRef>
          </c:tx>
          <c:invertIfNegative val="0"/>
          <c:cat>
            <c:strRef>
              <c:f>Sheet1!$A$8:$A$15</c:f>
              <c:strCache>
                <c:ptCount val="8"/>
                <c:pt idx="0">
                  <c:v>Germany</c:v>
                </c:pt>
                <c:pt idx="1">
                  <c:v>Denmark</c:v>
                </c:pt>
                <c:pt idx="2">
                  <c:v>France</c:v>
                </c:pt>
                <c:pt idx="3">
                  <c:v>United Kingdom</c:v>
                </c:pt>
                <c:pt idx="4">
                  <c:v>Greece</c:v>
                </c:pt>
                <c:pt idx="5">
                  <c:v>Norway</c:v>
                </c:pt>
                <c:pt idx="6">
                  <c:v>Sweden</c:v>
                </c:pt>
                <c:pt idx="7">
                  <c:v>Slovenia</c:v>
                </c:pt>
              </c:strCache>
            </c:strRef>
          </c:cat>
          <c:val>
            <c:numRef>
              <c:f>Sheet1!$H$8:$H$15</c:f>
            </c:numRef>
          </c:val>
        </c:ser>
        <c:ser>
          <c:idx val="7"/>
          <c:order val="7"/>
          <c:tx>
            <c:strRef>
              <c:f>Sheet1!$I$6:$I$7</c:f>
              <c:strCache>
                <c:ptCount val="1"/>
                <c:pt idx="0">
                  <c:v>07</c:v>
                </c:pt>
              </c:strCache>
            </c:strRef>
          </c:tx>
          <c:invertIfNegative val="0"/>
          <c:cat>
            <c:strRef>
              <c:f>Sheet1!$A$8:$A$15</c:f>
              <c:strCache>
                <c:ptCount val="8"/>
                <c:pt idx="0">
                  <c:v>Germany</c:v>
                </c:pt>
                <c:pt idx="1">
                  <c:v>Denmark</c:v>
                </c:pt>
                <c:pt idx="2">
                  <c:v>France</c:v>
                </c:pt>
                <c:pt idx="3">
                  <c:v>United Kingdom</c:v>
                </c:pt>
                <c:pt idx="4">
                  <c:v>Greece</c:v>
                </c:pt>
                <c:pt idx="5">
                  <c:v>Norway</c:v>
                </c:pt>
                <c:pt idx="6">
                  <c:v>Sweden</c:v>
                </c:pt>
                <c:pt idx="7">
                  <c:v>Slovenia</c:v>
                </c:pt>
              </c:strCache>
            </c:strRef>
          </c:cat>
          <c:val>
            <c:numRef>
              <c:f>Sheet1!$I$8:$I$15</c:f>
            </c:numRef>
          </c:val>
        </c:ser>
        <c:ser>
          <c:idx val="8"/>
          <c:order val="8"/>
          <c:tx>
            <c:strRef>
              <c:f>Sheet1!$J$6:$J$7</c:f>
              <c:strCache>
                <c:ptCount val="1"/>
                <c:pt idx="0">
                  <c:v>08</c:v>
                </c:pt>
              </c:strCache>
            </c:strRef>
          </c:tx>
          <c:invertIfNegative val="0"/>
          <c:cat>
            <c:strRef>
              <c:f>Sheet1!$A$8:$A$15</c:f>
              <c:strCache>
                <c:ptCount val="8"/>
                <c:pt idx="0">
                  <c:v>Germany</c:v>
                </c:pt>
                <c:pt idx="1">
                  <c:v>Denmark</c:v>
                </c:pt>
                <c:pt idx="2">
                  <c:v>France</c:v>
                </c:pt>
                <c:pt idx="3">
                  <c:v>United Kingdom</c:v>
                </c:pt>
                <c:pt idx="4">
                  <c:v>Greece</c:v>
                </c:pt>
                <c:pt idx="5">
                  <c:v>Norway</c:v>
                </c:pt>
                <c:pt idx="6">
                  <c:v>Sweden</c:v>
                </c:pt>
                <c:pt idx="7">
                  <c:v>Slovenia</c:v>
                </c:pt>
              </c:strCache>
            </c:strRef>
          </c:cat>
          <c:val>
            <c:numRef>
              <c:f>Sheet1!$J$8:$J$15</c:f>
            </c:numRef>
          </c:val>
        </c:ser>
        <c:ser>
          <c:idx val="9"/>
          <c:order val="9"/>
          <c:tx>
            <c:strRef>
              <c:f>Sheet1!$K$6:$K$7</c:f>
              <c:strCache>
                <c:ptCount val="1"/>
                <c:pt idx="0">
                  <c:v>09</c:v>
                </c:pt>
              </c:strCache>
            </c:strRef>
          </c:tx>
          <c:invertIfNegative val="0"/>
          <c:cat>
            <c:strRef>
              <c:f>Sheet1!$A$8:$A$15</c:f>
              <c:strCache>
                <c:ptCount val="8"/>
                <c:pt idx="0">
                  <c:v>Germany</c:v>
                </c:pt>
                <c:pt idx="1">
                  <c:v>Denmark</c:v>
                </c:pt>
                <c:pt idx="2">
                  <c:v>France</c:v>
                </c:pt>
                <c:pt idx="3">
                  <c:v>United Kingdom</c:v>
                </c:pt>
                <c:pt idx="4">
                  <c:v>Greece</c:v>
                </c:pt>
                <c:pt idx="5">
                  <c:v>Norway</c:v>
                </c:pt>
                <c:pt idx="6">
                  <c:v>Sweden</c:v>
                </c:pt>
                <c:pt idx="7">
                  <c:v>Slovenia</c:v>
                </c:pt>
              </c:strCache>
            </c:strRef>
          </c:cat>
          <c:val>
            <c:numRef>
              <c:f>Sheet1!$K$8:$K$15</c:f>
            </c:numRef>
          </c:val>
        </c:ser>
        <c:ser>
          <c:idx val="10"/>
          <c:order val="10"/>
          <c:tx>
            <c:strRef>
              <c:f>Sheet1!$L$6:$L$7</c:f>
              <c:strCache>
                <c:ptCount val="1"/>
                <c:pt idx="0">
                  <c:v>Entirely governments' responsibility</c:v>
                </c:pt>
              </c:strCache>
            </c:strRef>
          </c:tx>
          <c:invertIfNegative val="0"/>
          <c:cat>
            <c:strRef>
              <c:f>Sheet1!$A$8:$A$15</c:f>
              <c:strCache>
                <c:ptCount val="8"/>
                <c:pt idx="0">
                  <c:v>Germany</c:v>
                </c:pt>
                <c:pt idx="1">
                  <c:v>Denmark</c:v>
                </c:pt>
                <c:pt idx="2">
                  <c:v>France</c:v>
                </c:pt>
                <c:pt idx="3">
                  <c:v>United Kingdom</c:v>
                </c:pt>
                <c:pt idx="4">
                  <c:v>Greece</c:v>
                </c:pt>
                <c:pt idx="5">
                  <c:v>Norway</c:v>
                </c:pt>
                <c:pt idx="6">
                  <c:v>Sweden</c:v>
                </c:pt>
                <c:pt idx="7">
                  <c:v>Slovenia</c:v>
                </c:pt>
              </c:strCache>
            </c:strRef>
          </c:cat>
          <c:val>
            <c:numRef>
              <c:f>Sheet1!$L$8:$L$15</c:f>
            </c:numRef>
          </c:val>
        </c:ser>
        <c:ser>
          <c:idx val="11"/>
          <c:order val="11"/>
          <c:tx>
            <c:strRef>
              <c:f>Sheet1!$M$6:$M$7</c:f>
              <c:strCache>
                <c:ptCount val="1"/>
                <c:pt idx="0">
                  <c:v>Entirely governments' responsibility</c:v>
                </c:pt>
              </c:strCache>
            </c:strRef>
          </c:tx>
          <c:invertIfNegative val="0"/>
          <c:cat>
            <c:strRef>
              <c:f>Sheet1!$A$8:$A$15</c:f>
              <c:strCache>
                <c:ptCount val="8"/>
                <c:pt idx="0">
                  <c:v>Germany</c:v>
                </c:pt>
                <c:pt idx="1">
                  <c:v>Denmark</c:v>
                </c:pt>
                <c:pt idx="2">
                  <c:v>France</c:v>
                </c:pt>
                <c:pt idx="3">
                  <c:v>United Kingdom</c:v>
                </c:pt>
                <c:pt idx="4">
                  <c:v>Greece</c:v>
                </c:pt>
                <c:pt idx="5">
                  <c:v>Norway</c:v>
                </c:pt>
                <c:pt idx="6">
                  <c:v>Sweden</c:v>
                </c:pt>
                <c:pt idx="7">
                  <c:v>Slovenia</c:v>
                </c:pt>
              </c:strCache>
            </c:strRef>
          </c:cat>
          <c:val>
            <c:numRef>
              <c:f>Sheet1!$M$8:$M$15</c:f>
            </c:numRef>
          </c:val>
        </c:ser>
        <c:ser>
          <c:idx val="12"/>
          <c:order val="12"/>
          <c:tx>
            <c:strRef>
              <c:f>Sheet1!$N$6:$N$7</c:f>
              <c:strCache>
                <c:ptCount val="1"/>
                <c:pt idx="0">
                  <c:v>Entirely governments' responsibility</c:v>
                </c:pt>
              </c:strCache>
            </c:strRef>
          </c:tx>
          <c:invertIfNegative val="0"/>
          <c:cat>
            <c:strRef>
              <c:f>Sheet1!$A$8:$A$15</c:f>
              <c:strCache>
                <c:ptCount val="8"/>
                <c:pt idx="0">
                  <c:v>Germany</c:v>
                </c:pt>
                <c:pt idx="1">
                  <c:v>Denmark</c:v>
                </c:pt>
                <c:pt idx="2">
                  <c:v>France</c:v>
                </c:pt>
                <c:pt idx="3">
                  <c:v>United Kingdom</c:v>
                </c:pt>
                <c:pt idx="4">
                  <c:v>Greece</c:v>
                </c:pt>
                <c:pt idx="5">
                  <c:v>Norway</c:v>
                </c:pt>
                <c:pt idx="6">
                  <c:v>Sweden</c:v>
                </c:pt>
                <c:pt idx="7">
                  <c:v>Slovenia</c:v>
                </c:pt>
              </c:strCache>
            </c:strRef>
          </c:cat>
          <c:val>
            <c:numRef>
              <c:f>Sheet1!$N$8:$N$15</c:f>
            </c:numRef>
          </c:val>
        </c:ser>
        <c:ser>
          <c:idx val="13"/>
          <c:order val="13"/>
          <c:tx>
            <c:strRef>
              <c:f>Sheet1!$O$6:$O$7</c:f>
              <c:strCache>
                <c:ptCount val="1"/>
                <c:pt idx="0">
                  <c:v>No responsibility</c:v>
                </c:pt>
              </c:strCache>
            </c:strRef>
          </c:tx>
          <c:spPr>
            <a:solidFill>
              <a:schemeClr val="accent2"/>
            </a:solidFill>
          </c:spPr>
          <c:invertIfNegative val="0"/>
          <c:cat>
            <c:strRef>
              <c:f>Sheet1!$A$8:$A$15</c:f>
              <c:strCache>
                <c:ptCount val="8"/>
                <c:pt idx="0">
                  <c:v>Germany</c:v>
                </c:pt>
                <c:pt idx="1">
                  <c:v>Denmark</c:v>
                </c:pt>
                <c:pt idx="2">
                  <c:v>France</c:v>
                </c:pt>
                <c:pt idx="3">
                  <c:v>United Kingdom</c:v>
                </c:pt>
                <c:pt idx="4">
                  <c:v>Greece</c:v>
                </c:pt>
                <c:pt idx="5">
                  <c:v>Norway</c:v>
                </c:pt>
                <c:pt idx="6">
                  <c:v>Sweden</c:v>
                </c:pt>
                <c:pt idx="7">
                  <c:v>Slovenia</c:v>
                </c:pt>
              </c:strCache>
            </c:strRef>
          </c:cat>
          <c:val>
            <c:numRef>
              <c:f>Sheet1!$O$8:$O$15</c:f>
              <c:numCache>
                <c:formatCode>####.0%</c:formatCode>
                <c:ptCount val="8"/>
                <c:pt idx="0">
                  <c:v>3.2798833819241986E-2</c:v>
                </c:pt>
                <c:pt idx="1">
                  <c:v>1.2500000000000001E-2</c:v>
                </c:pt>
                <c:pt idx="2">
                  <c:v>3.0478955007256902E-2</c:v>
                </c:pt>
                <c:pt idx="3">
                  <c:v>1.5345268542199485E-2</c:v>
                </c:pt>
                <c:pt idx="4">
                  <c:v>2.0348837209302337E-2</c:v>
                </c:pt>
                <c:pt idx="5">
                  <c:v>1.1635423400129283E-2</c:v>
                </c:pt>
                <c:pt idx="6">
                  <c:v>9.8955470038482804E-3</c:v>
                </c:pt>
                <c:pt idx="7">
                  <c:v>2.7322404371584685E-2</c:v>
                </c:pt>
              </c:numCache>
            </c:numRef>
          </c:val>
        </c:ser>
        <c:ser>
          <c:idx val="14"/>
          <c:order val="14"/>
          <c:tx>
            <c:strRef>
              <c:f>Sheet1!$P$6:$P$7</c:f>
              <c:strCache>
                <c:ptCount val="1"/>
                <c:pt idx="0">
                  <c:v>Responsibility</c:v>
                </c:pt>
              </c:strCache>
            </c:strRef>
          </c:tx>
          <c:spPr>
            <a:solidFill>
              <a:schemeClr val="accent1"/>
            </a:solidFill>
          </c:spPr>
          <c:invertIfNegative val="0"/>
          <c:cat>
            <c:strRef>
              <c:f>Sheet1!$A$8:$A$15</c:f>
              <c:strCache>
                <c:ptCount val="8"/>
                <c:pt idx="0">
                  <c:v>Germany</c:v>
                </c:pt>
                <c:pt idx="1">
                  <c:v>Denmark</c:v>
                </c:pt>
                <c:pt idx="2">
                  <c:v>France</c:v>
                </c:pt>
                <c:pt idx="3">
                  <c:v>United Kingdom</c:v>
                </c:pt>
                <c:pt idx="4">
                  <c:v>Greece</c:v>
                </c:pt>
                <c:pt idx="5">
                  <c:v>Norway</c:v>
                </c:pt>
                <c:pt idx="6">
                  <c:v>Sweden</c:v>
                </c:pt>
                <c:pt idx="7">
                  <c:v>Slovenia</c:v>
                </c:pt>
              </c:strCache>
            </c:strRef>
          </c:cat>
          <c:val>
            <c:numRef>
              <c:f>Sheet1!$P$8:$P$15</c:f>
              <c:numCache>
                <c:formatCode>###0.0%</c:formatCode>
                <c:ptCount val="8"/>
                <c:pt idx="0">
                  <c:v>0.92966472303207004</c:v>
                </c:pt>
                <c:pt idx="1">
                  <c:v>0.96812500000000035</c:v>
                </c:pt>
                <c:pt idx="2">
                  <c:v>0.91388485728108404</c:v>
                </c:pt>
                <c:pt idx="3">
                  <c:v>0.96504688832054564</c:v>
                </c:pt>
                <c:pt idx="4">
                  <c:v>0.96656976744186041</c:v>
                </c:pt>
                <c:pt idx="5">
                  <c:v>0.97349709114414984</c:v>
                </c:pt>
                <c:pt idx="6">
                  <c:v>0.97031335898845517</c:v>
                </c:pt>
                <c:pt idx="7">
                  <c:v>0.94925839188134242</c:v>
                </c:pt>
              </c:numCache>
            </c:numRef>
          </c:val>
        </c:ser>
        <c:dLbls>
          <c:showLegendKey val="0"/>
          <c:showVal val="0"/>
          <c:showCatName val="0"/>
          <c:showSerName val="0"/>
          <c:showPercent val="0"/>
          <c:showBubbleSize val="0"/>
        </c:dLbls>
        <c:gapWidth val="150"/>
        <c:axId val="568447736"/>
        <c:axId val="568448128"/>
      </c:barChart>
      <c:catAx>
        <c:axId val="568447736"/>
        <c:scaling>
          <c:orientation val="minMax"/>
        </c:scaling>
        <c:delete val="0"/>
        <c:axPos val="b"/>
        <c:numFmt formatCode="General" sourceLinked="0"/>
        <c:majorTickMark val="out"/>
        <c:minorTickMark val="none"/>
        <c:tickLblPos val="nextTo"/>
        <c:crossAx val="568448128"/>
        <c:crosses val="autoZero"/>
        <c:auto val="1"/>
        <c:lblAlgn val="ctr"/>
        <c:lblOffset val="100"/>
        <c:noMultiLvlLbl val="0"/>
      </c:catAx>
      <c:valAx>
        <c:axId val="568448128"/>
        <c:scaling>
          <c:orientation val="minMax"/>
          <c:max val="1"/>
        </c:scaling>
        <c:delete val="0"/>
        <c:axPos val="l"/>
        <c:majorGridlines/>
        <c:numFmt formatCode="####.0%" sourceLinked="1"/>
        <c:majorTickMark val="out"/>
        <c:minorTickMark val="none"/>
        <c:tickLblPos val="nextTo"/>
        <c:crossAx val="568447736"/>
        <c:crosses val="autoZero"/>
        <c:crossBetween val="between"/>
      </c:valAx>
    </c:plotArea>
    <c:legend>
      <c:legendPos val="r"/>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Sheet1!$C$8:$C$9</c:f>
              <c:strCache>
                <c:ptCount val="1"/>
                <c:pt idx="0">
                  <c:v>Large differences in income acceptable to reward talents and efforts Agree strongly</c:v>
                </c:pt>
              </c:strCache>
            </c:strRef>
          </c:tx>
          <c:invertIfNegative val="0"/>
          <c:cat>
            <c:strRef>
              <c:f>Sheet1!$B$10:$B$17</c:f>
              <c:strCache>
                <c:ptCount val="8"/>
                <c:pt idx="0">
                  <c:v>Germany</c:v>
                </c:pt>
                <c:pt idx="1">
                  <c:v>Denmark</c:v>
                </c:pt>
                <c:pt idx="2">
                  <c:v>France</c:v>
                </c:pt>
                <c:pt idx="3">
                  <c:v>United Kingdom</c:v>
                </c:pt>
                <c:pt idx="4">
                  <c:v>Greece</c:v>
                </c:pt>
                <c:pt idx="5">
                  <c:v>Norway</c:v>
                </c:pt>
                <c:pt idx="6">
                  <c:v>Sweden</c:v>
                </c:pt>
                <c:pt idx="7">
                  <c:v>Slovenia</c:v>
                </c:pt>
              </c:strCache>
            </c:strRef>
          </c:cat>
          <c:val>
            <c:numRef>
              <c:f>Sheet1!$C$10:$C$17</c:f>
            </c:numRef>
          </c:val>
        </c:ser>
        <c:ser>
          <c:idx val="1"/>
          <c:order val="1"/>
          <c:tx>
            <c:strRef>
              <c:f>Sheet1!$D$8:$D$9</c:f>
              <c:strCache>
                <c:ptCount val="1"/>
                <c:pt idx="0">
                  <c:v>Large differences in income acceptable to reward talents and efforts Agree</c:v>
                </c:pt>
              </c:strCache>
            </c:strRef>
          </c:tx>
          <c:invertIfNegative val="0"/>
          <c:cat>
            <c:strRef>
              <c:f>Sheet1!$B$10:$B$17</c:f>
              <c:strCache>
                <c:ptCount val="8"/>
                <c:pt idx="0">
                  <c:v>Germany</c:v>
                </c:pt>
                <c:pt idx="1">
                  <c:v>Denmark</c:v>
                </c:pt>
                <c:pt idx="2">
                  <c:v>France</c:v>
                </c:pt>
                <c:pt idx="3">
                  <c:v>United Kingdom</c:v>
                </c:pt>
                <c:pt idx="4">
                  <c:v>Greece</c:v>
                </c:pt>
                <c:pt idx="5">
                  <c:v>Norway</c:v>
                </c:pt>
                <c:pt idx="6">
                  <c:v>Sweden</c:v>
                </c:pt>
                <c:pt idx="7">
                  <c:v>Slovenia</c:v>
                </c:pt>
              </c:strCache>
            </c:strRef>
          </c:cat>
          <c:val>
            <c:numRef>
              <c:f>Sheet1!$D$10:$D$17</c:f>
            </c:numRef>
          </c:val>
        </c:ser>
        <c:ser>
          <c:idx val="2"/>
          <c:order val="2"/>
          <c:tx>
            <c:strRef>
              <c:f>Sheet1!$E$8:$E$9</c:f>
              <c:strCache>
                <c:ptCount val="1"/>
                <c:pt idx="0">
                  <c:v>Large differences in income acceptable to reward talents and efforts Neither agree nor disagree</c:v>
                </c:pt>
              </c:strCache>
            </c:strRef>
          </c:tx>
          <c:invertIfNegative val="0"/>
          <c:cat>
            <c:strRef>
              <c:f>Sheet1!$B$10:$B$17</c:f>
              <c:strCache>
                <c:ptCount val="8"/>
                <c:pt idx="0">
                  <c:v>Germany</c:v>
                </c:pt>
                <c:pt idx="1">
                  <c:v>Denmark</c:v>
                </c:pt>
                <c:pt idx="2">
                  <c:v>France</c:v>
                </c:pt>
                <c:pt idx="3">
                  <c:v>United Kingdom</c:v>
                </c:pt>
                <c:pt idx="4">
                  <c:v>Greece</c:v>
                </c:pt>
                <c:pt idx="5">
                  <c:v>Norway</c:v>
                </c:pt>
                <c:pt idx="6">
                  <c:v>Sweden</c:v>
                </c:pt>
                <c:pt idx="7">
                  <c:v>Slovenia</c:v>
                </c:pt>
              </c:strCache>
            </c:strRef>
          </c:cat>
          <c:val>
            <c:numRef>
              <c:f>Sheet1!$E$10:$E$17</c:f>
            </c:numRef>
          </c:val>
        </c:ser>
        <c:ser>
          <c:idx val="3"/>
          <c:order val="3"/>
          <c:tx>
            <c:strRef>
              <c:f>Sheet1!$F$8:$F$9</c:f>
              <c:strCache>
                <c:ptCount val="1"/>
                <c:pt idx="0">
                  <c:v>Large differences in income acceptable to reward talents and efforts Disagree</c:v>
                </c:pt>
              </c:strCache>
            </c:strRef>
          </c:tx>
          <c:invertIfNegative val="0"/>
          <c:cat>
            <c:strRef>
              <c:f>Sheet1!$B$10:$B$17</c:f>
              <c:strCache>
                <c:ptCount val="8"/>
                <c:pt idx="0">
                  <c:v>Germany</c:v>
                </c:pt>
                <c:pt idx="1">
                  <c:v>Denmark</c:v>
                </c:pt>
                <c:pt idx="2">
                  <c:v>France</c:v>
                </c:pt>
                <c:pt idx="3">
                  <c:v>United Kingdom</c:v>
                </c:pt>
                <c:pt idx="4">
                  <c:v>Greece</c:v>
                </c:pt>
                <c:pt idx="5">
                  <c:v>Norway</c:v>
                </c:pt>
                <c:pt idx="6">
                  <c:v>Sweden</c:v>
                </c:pt>
                <c:pt idx="7">
                  <c:v>Slovenia</c:v>
                </c:pt>
              </c:strCache>
            </c:strRef>
          </c:cat>
          <c:val>
            <c:numRef>
              <c:f>Sheet1!$F$10:$F$17</c:f>
            </c:numRef>
          </c:val>
        </c:ser>
        <c:ser>
          <c:idx val="4"/>
          <c:order val="4"/>
          <c:tx>
            <c:strRef>
              <c:f>Sheet1!$G$8:$G$9</c:f>
              <c:strCache>
                <c:ptCount val="1"/>
                <c:pt idx="0">
                  <c:v>Large differences in income acceptable to reward talents and efforts Disagree strongly</c:v>
                </c:pt>
              </c:strCache>
            </c:strRef>
          </c:tx>
          <c:invertIfNegative val="0"/>
          <c:cat>
            <c:strRef>
              <c:f>Sheet1!$B$10:$B$17</c:f>
              <c:strCache>
                <c:ptCount val="8"/>
                <c:pt idx="0">
                  <c:v>Germany</c:v>
                </c:pt>
                <c:pt idx="1">
                  <c:v>Denmark</c:v>
                </c:pt>
                <c:pt idx="2">
                  <c:v>France</c:v>
                </c:pt>
                <c:pt idx="3">
                  <c:v>United Kingdom</c:v>
                </c:pt>
                <c:pt idx="4">
                  <c:v>Greece</c:v>
                </c:pt>
                <c:pt idx="5">
                  <c:v>Norway</c:v>
                </c:pt>
                <c:pt idx="6">
                  <c:v>Sweden</c:v>
                </c:pt>
                <c:pt idx="7">
                  <c:v>Slovenia</c:v>
                </c:pt>
              </c:strCache>
            </c:strRef>
          </c:cat>
          <c:val>
            <c:numRef>
              <c:f>Sheet1!$G$10:$G$17</c:f>
            </c:numRef>
          </c:val>
        </c:ser>
        <c:ser>
          <c:idx val="5"/>
          <c:order val="5"/>
          <c:tx>
            <c:strRef>
              <c:f>Sheet1!$H$8:$H$9</c:f>
              <c:strCache>
                <c:ptCount val="1"/>
                <c:pt idx="0">
                  <c:v>Total</c:v>
                </c:pt>
              </c:strCache>
            </c:strRef>
          </c:tx>
          <c:invertIfNegative val="0"/>
          <c:cat>
            <c:strRef>
              <c:f>Sheet1!$B$10:$B$17</c:f>
              <c:strCache>
                <c:ptCount val="8"/>
                <c:pt idx="0">
                  <c:v>Germany</c:v>
                </c:pt>
                <c:pt idx="1">
                  <c:v>Denmark</c:v>
                </c:pt>
                <c:pt idx="2">
                  <c:v>France</c:v>
                </c:pt>
                <c:pt idx="3">
                  <c:v>United Kingdom</c:v>
                </c:pt>
                <c:pt idx="4">
                  <c:v>Greece</c:v>
                </c:pt>
                <c:pt idx="5">
                  <c:v>Norway</c:v>
                </c:pt>
                <c:pt idx="6">
                  <c:v>Sweden</c:v>
                </c:pt>
                <c:pt idx="7">
                  <c:v>Slovenia</c:v>
                </c:pt>
              </c:strCache>
            </c:strRef>
          </c:cat>
          <c:val>
            <c:numRef>
              <c:f>Sheet1!$H$10:$H$17</c:f>
            </c:numRef>
          </c:val>
        </c:ser>
        <c:ser>
          <c:idx val="6"/>
          <c:order val="6"/>
          <c:tx>
            <c:strRef>
              <c:f>Sheet1!$I$8:$I$9</c:f>
              <c:strCache>
                <c:ptCount val="1"/>
                <c:pt idx="0">
                  <c:v>Total</c:v>
                </c:pt>
              </c:strCache>
            </c:strRef>
          </c:tx>
          <c:invertIfNegative val="0"/>
          <c:cat>
            <c:strRef>
              <c:f>Sheet1!$B$10:$B$17</c:f>
              <c:strCache>
                <c:ptCount val="8"/>
                <c:pt idx="0">
                  <c:v>Germany</c:v>
                </c:pt>
                <c:pt idx="1">
                  <c:v>Denmark</c:v>
                </c:pt>
                <c:pt idx="2">
                  <c:v>France</c:v>
                </c:pt>
                <c:pt idx="3">
                  <c:v>United Kingdom</c:v>
                </c:pt>
                <c:pt idx="4">
                  <c:v>Greece</c:v>
                </c:pt>
                <c:pt idx="5">
                  <c:v>Norway</c:v>
                </c:pt>
                <c:pt idx="6">
                  <c:v>Sweden</c:v>
                </c:pt>
                <c:pt idx="7">
                  <c:v>Slovenia</c:v>
                </c:pt>
              </c:strCache>
            </c:strRef>
          </c:cat>
          <c:val>
            <c:numRef>
              <c:f>Sheet1!$I$10:$I$17</c:f>
            </c:numRef>
          </c:val>
        </c:ser>
        <c:ser>
          <c:idx val="7"/>
          <c:order val="7"/>
          <c:tx>
            <c:strRef>
              <c:f>Sheet1!$J$8:$J$9</c:f>
              <c:strCache>
                <c:ptCount val="1"/>
                <c:pt idx="0">
                  <c:v>Total % Agree</c:v>
                </c:pt>
              </c:strCache>
            </c:strRef>
          </c:tx>
          <c:spPr>
            <a:solidFill>
              <a:schemeClr val="accent1"/>
            </a:solidFill>
          </c:spPr>
          <c:invertIfNegative val="0"/>
          <c:cat>
            <c:strRef>
              <c:f>Sheet1!$B$10:$B$17</c:f>
              <c:strCache>
                <c:ptCount val="8"/>
                <c:pt idx="0">
                  <c:v>Germany</c:v>
                </c:pt>
                <c:pt idx="1">
                  <c:v>Denmark</c:v>
                </c:pt>
                <c:pt idx="2">
                  <c:v>France</c:v>
                </c:pt>
                <c:pt idx="3">
                  <c:v>United Kingdom</c:v>
                </c:pt>
                <c:pt idx="4">
                  <c:v>Greece</c:v>
                </c:pt>
                <c:pt idx="5">
                  <c:v>Norway</c:v>
                </c:pt>
                <c:pt idx="6">
                  <c:v>Sweden</c:v>
                </c:pt>
                <c:pt idx="7">
                  <c:v>Slovenia</c:v>
                </c:pt>
              </c:strCache>
            </c:strRef>
          </c:cat>
          <c:val>
            <c:numRef>
              <c:f>Sheet1!$J$10:$J$17</c:f>
              <c:numCache>
                <c:formatCode>###0.0%</c:formatCode>
                <c:ptCount val="8"/>
                <c:pt idx="0">
                  <c:v>0.60132158590308371</c:v>
                </c:pt>
                <c:pt idx="1">
                  <c:v>0.66666666666666674</c:v>
                </c:pt>
                <c:pt idx="2">
                  <c:v>0.51475568456700549</c:v>
                </c:pt>
                <c:pt idx="3">
                  <c:v>0.63874570446735424</c:v>
                </c:pt>
                <c:pt idx="4">
                  <c:v>0.74677898909811713</c:v>
                </c:pt>
                <c:pt idx="5">
                  <c:v>0.52652005174644223</c:v>
                </c:pt>
                <c:pt idx="6">
                  <c:v>0.48975069252077574</c:v>
                </c:pt>
                <c:pt idx="7">
                  <c:v>0.3654301499605368</c:v>
                </c:pt>
              </c:numCache>
            </c:numRef>
          </c:val>
        </c:ser>
        <c:ser>
          <c:idx val="8"/>
          <c:order val="8"/>
          <c:tx>
            <c:strRef>
              <c:f>Sheet1!$K$8:$K$9</c:f>
              <c:strCache>
                <c:ptCount val="1"/>
                <c:pt idx="0">
                  <c:v>Total % Disagree</c:v>
                </c:pt>
              </c:strCache>
            </c:strRef>
          </c:tx>
          <c:spPr>
            <a:solidFill>
              <a:schemeClr val="accent2"/>
            </a:solidFill>
          </c:spPr>
          <c:invertIfNegative val="0"/>
          <c:cat>
            <c:strRef>
              <c:f>Sheet1!$B$10:$B$17</c:f>
              <c:strCache>
                <c:ptCount val="8"/>
                <c:pt idx="0">
                  <c:v>Germany</c:v>
                </c:pt>
                <c:pt idx="1">
                  <c:v>Denmark</c:v>
                </c:pt>
                <c:pt idx="2">
                  <c:v>France</c:v>
                </c:pt>
                <c:pt idx="3">
                  <c:v>United Kingdom</c:v>
                </c:pt>
                <c:pt idx="4">
                  <c:v>Greece</c:v>
                </c:pt>
                <c:pt idx="5">
                  <c:v>Norway</c:v>
                </c:pt>
                <c:pt idx="6">
                  <c:v>Sweden</c:v>
                </c:pt>
                <c:pt idx="7">
                  <c:v>Slovenia</c:v>
                </c:pt>
              </c:strCache>
            </c:strRef>
          </c:cat>
          <c:val>
            <c:numRef>
              <c:f>Sheet1!$K$10:$K$17</c:f>
              <c:numCache>
                <c:formatCode>###0.0%</c:formatCode>
                <c:ptCount val="8"/>
                <c:pt idx="0">
                  <c:v>0.20337738619676954</c:v>
                </c:pt>
                <c:pt idx="1">
                  <c:v>0.14528301886792463</c:v>
                </c:pt>
                <c:pt idx="2">
                  <c:v>0.32946298984034866</c:v>
                </c:pt>
                <c:pt idx="3">
                  <c:v>0.19544673539518906</c:v>
                </c:pt>
                <c:pt idx="4">
                  <c:v>9.0683845391476781E-2</c:v>
                </c:pt>
                <c:pt idx="5">
                  <c:v>0.21604139715394574</c:v>
                </c:pt>
                <c:pt idx="6">
                  <c:v>0.2686980609418283</c:v>
                </c:pt>
                <c:pt idx="7">
                  <c:v>0.40094711917916337</c:v>
                </c:pt>
              </c:numCache>
            </c:numRef>
          </c:val>
        </c:ser>
        <c:ser>
          <c:idx val="9"/>
          <c:order val="9"/>
          <c:tx>
            <c:strRef>
              <c:f>Sheet1!$L$8:$L$9</c:f>
              <c:strCache>
                <c:ptCount val="1"/>
                <c:pt idx="0">
                  <c:v>Total % Neither agree nor disagree</c:v>
                </c:pt>
              </c:strCache>
            </c:strRef>
          </c:tx>
          <c:spPr>
            <a:solidFill>
              <a:schemeClr val="bg1">
                <a:lumMod val="85000"/>
              </a:schemeClr>
            </a:solidFill>
          </c:spPr>
          <c:invertIfNegative val="0"/>
          <c:cat>
            <c:strRef>
              <c:f>Sheet1!$B$10:$B$17</c:f>
              <c:strCache>
                <c:ptCount val="8"/>
                <c:pt idx="0">
                  <c:v>Germany</c:v>
                </c:pt>
                <c:pt idx="1">
                  <c:v>Denmark</c:v>
                </c:pt>
                <c:pt idx="2">
                  <c:v>France</c:v>
                </c:pt>
                <c:pt idx="3">
                  <c:v>United Kingdom</c:v>
                </c:pt>
                <c:pt idx="4">
                  <c:v>Greece</c:v>
                </c:pt>
                <c:pt idx="5">
                  <c:v>Norway</c:v>
                </c:pt>
                <c:pt idx="6">
                  <c:v>Sweden</c:v>
                </c:pt>
                <c:pt idx="7">
                  <c:v>Slovenia</c:v>
                </c:pt>
              </c:strCache>
            </c:strRef>
          </c:cat>
          <c:val>
            <c:numRef>
              <c:f>Sheet1!$L$10:$L$17</c:f>
              <c:numCache>
                <c:formatCode>###0.0%</c:formatCode>
                <c:ptCount val="8"/>
                <c:pt idx="0">
                  <c:v>0.19530102790014678</c:v>
                </c:pt>
                <c:pt idx="1">
                  <c:v>0.18805031446540887</c:v>
                </c:pt>
                <c:pt idx="2">
                  <c:v>0.15578132559264643</c:v>
                </c:pt>
                <c:pt idx="3">
                  <c:v>0.16580756013745709</c:v>
                </c:pt>
                <c:pt idx="4">
                  <c:v>0.16253716551040645</c:v>
                </c:pt>
                <c:pt idx="5">
                  <c:v>0.257438551099612</c:v>
                </c:pt>
                <c:pt idx="6">
                  <c:v>0.24155124653739626</c:v>
                </c:pt>
                <c:pt idx="7">
                  <c:v>0.23362273086029994</c:v>
                </c:pt>
              </c:numCache>
            </c:numRef>
          </c:val>
        </c:ser>
        <c:dLbls>
          <c:showLegendKey val="0"/>
          <c:showVal val="0"/>
          <c:showCatName val="0"/>
          <c:showSerName val="0"/>
          <c:showPercent val="0"/>
          <c:showBubbleSize val="0"/>
        </c:dLbls>
        <c:gapWidth val="150"/>
        <c:axId val="312951376"/>
        <c:axId val="312958040"/>
      </c:barChart>
      <c:catAx>
        <c:axId val="312951376"/>
        <c:scaling>
          <c:orientation val="minMax"/>
        </c:scaling>
        <c:delete val="0"/>
        <c:axPos val="b"/>
        <c:numFmt formatCode="General" sourceLinked="0"/>
        <c:majorTickMark val="out"/>
        <c:minorTickMark val="none"/>
        <c:tickLblPos val="nextTo"/>
        <c:crossAx val="312958040"/>
        <c:crosses val="autoZero"/>
        <c:auto val="1"/>
        <c:lblAlgn val="ctr"/>
        <c:lblOffset val="100"/>
        <c:noMultiLvlLbl val="0"/>
      </c:catAx>
      <c:valAx>
        <c:axId val="312958040"/>
        <c:scaling>
          <c:orientation val="minMax"/>
        </c:scaling>
        <c:delete val="0"/>
        <c:axPos val="l"/>
        <c:majorGridlines/>
        <c:numFmt formatCode="###0.0%" sourceLinked="1"/>
        <c:majorTickMark val="out"/>
        <c:minorTickMark val="none"/>
        <c:tickLblPos val="nextTo"/>
        <c:crossAx val="312951376"/>
        <c:crosses val="autoZero"/>
        <c:crossBetween val="between"/>
      </c:valAx>
    </c:plotArea>
    <c:legend>
      <c:legendPos val="r"/>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Sheet1!$C$5:$C$6</c:f>
              <c:strCache>
                <c:ptCount val="1"/>
                <c:pt idx="0">
                  <c:v>Government should reduce differences in income levels Agree strongly</c:v>
                </c:pt>
              </c:strCache>
            </c:strRef>
          </c:tx>
          <c:invertIfNegative val="0"/>
          <c:cat>
            <c:strRef>
              <c:f>Sheet1!$B$7:$B$14</c:f>
              <c:strCache>
                <c:ptCount val="8"/>
                <c:pt idx="0">
                  <c:v>Germany</c:v>
                </c:pt>
                <c:pt idx="1">
                  <c:v>Denmark</c:v>
                </c:pt>
                <c:pt idx="2">
                  <c:v>France</c:v>
                </c:pt>
                <c:pt idx="3">
                  <c:v>United Kingdom</c:v>
                </c:pt>
                <c:pt idx="4">
                  <c:v>Greece</c:v>
                </c:pt>
                <c:pt idx="5">
                  <c:v>Norway</c:v>
                </c:pt>
                <c:pt idx="6">
                  <c:v>Sweden</c:v>
                </c:pt>
                <c:pt idx="7">
                  <c:v>Slovenia</c:v>
                </c:pt>
              </c:strCache>
            </c:strRef>
          </c:cat>
          <c:val>
            <c:numRef>
              <c:f>Sheet1!$C$7:$C$14</c:f>
            </c:numRef>
          </c:val>
        </c:ser>
        <c:ser>
          <c:idx val="1"/>
          <c:order val="1"/>
          <c:tx>
            <c:strRef>
              <c:f>Sheet1!$D$5:$D$6</c:f>
              <c:strCache>
                <c:ptCount val="1"/>
                <c:pt idx="0">
                  <c:v>Government should reduce differences in income levels Agree</c:v>
                </c:pt>
              </c:strCache>
            </c:strRef>
          </c:tx>
          <c:invertIfNegative val="0"/>
          <c:cat>
            <c:strRef>
              <c:f>Sheet1!$B$7:$B$14</c:f>
              <c:strCache>
                <c:ptCount val="8"/>
                <c:pt idx="0">
                  <c:v>Germany</c:v>
                </c:pt>
                <c:pt idx="1">
                  <c:v>Denmark</c:v>
                </c:pt>
                <c:pt idx="2">
                  <c:v>France</c:v>
                </c:pt>
                <c:pt idx="3">
                  <c:v>United Kingdom</c:v>
                </c:pt>
                <c:pt idx="4">
                  <c:v>Greece</c:v>
                </c:pt>
                <c:pt idx="5">
                  <c:v>Norway</c:v>
                </c:pt>
                <c:pt idx="6">
                  <c:v>Sweden</c:v>
                </c:pt>
                <c:pt idx="7">
                  <c:v>Slovenia</c:v>
                </c:pt>
              </c:strCache>
            </c:strRef>
          </c:cat>
          <c:val>
            <c:numRef>
              <c:f>Sheet1!$D$7:$D$14</c:f>
            </c:numRef>
          </c:val>
        </c:ser>
        <c:ser>
          <c:idx val="2"/>
          <c:order val="2"/>
          <c:tx>
            <c:strRef>
              <c:f>Sheet1!$E$5:$E$6</c:f>
              <c:strCache>
                <c:ptCount val="1"/>
                <c:pt idx="0">
                  <c:v>Government should reduce differences in income levels Neither agree nor disagree</c:v>
                </c:pt>
              </c:strCache>
            </c:strRef>
          </c:tx>
          <c:invertIfNegative val="0"/>
          <c:cat>
            <c:strRef>
              <c:f>Sheet1!$B$7:$B$14</c:f>
              <c:strCache>
                <c:ptCount val="8"/>
                <c:pt idx="0">
                  <c:v>Germany</c:v>
                </c:pt>
                <c:pt idx="1">
                  <c:v>Denmark</c:v>
                </c:pt>
                <c:pt idx="2">
                  <c:v>France</c:v>
                </c:pt>
                <c:pt idx="3">
                  <c:v>United Kingdom</c:v>
                </c:pt>
                <c:pt idx="4">
                  <c:v>Greece</c:v>
                </c:pt>
                <c:pt idx="5">
                  <c:v>Norway</c:v>
                </c:pt>
                <c:pt idx="6">
                  <c:v>Sweden</c:v>
                </c:pt>
                <c:pt idx="7">
                  <c:v>Slovenia</c:v>
                </c:pt>
              </c:strCache>
            </c:strRef>
          </c:cat>
          <c:val>
            <c:numRef>
              <c:f>Sheet1!$E$7:$E$14</c:f>
            </c:numRef>
          </c:val>
        </c:ser>
        <c:ser>
          <c:idx val="3"/>
          <c:order val="3"/>
          <c:tx>
            <c:strRef>
              <c:f>Sheet1!$F$5:$F$6</c:f>
              <c:strCache>
                <c:ptCount val="1"/>
                <c:pt idx="0">
                  <c:v>Government should reduce differences in income levels Disagree</c:v>
                </c:pt>
              </c:strCache>
            </c:strRef>
          </c:tx>
          <c:invertIfNegative val="0"/>
          <c:cat>
            <c:strRef>
              <c:f>Sheet1!$B$7:$B$14</c:f>
              <c:strCache>
                <c:ptCount val="8"/>
                <c:pt idx="0">
                  <c:v>Germany</c:v>
                </c:pt>
                <c:pt idx="1">
                  <c:v>Denmark</c:v>
                </c:pt>
                <c:pt idx="2">
                  <c:v>France</c:v>
                </c:pt>
                <c:pt idx="3">
                  <c:v>United Kingdom</c:v>
                </c:pt>
                <c:pt idx="4">
                  <c:v>Greece</c:v>
                </c:pt>
                <c:pt idx="5">
                  <c:v>Norway</c:v>
                </c:pt>
                <c:pt idx="6">
                  <c:v>Sweden</c:v>
                </c:pt>
                <c:pt idx="7">
                  <c:v>Slovenia</c:v>
                </c:pt>
              </c:strCache>
            </c:strRef>
          </c:cat>
          <c:val>
            <c:numRef>
              <c:f>Sheet1!$F$7:$F$14</c:f>
            </c:numRef>
          </c:val>
        </c:ser>
        <c:ser>
          <c:idx val="4"/>
          <c:order val="4"/>
          <c:tx>
            <c:strRef>
              <c:f>Sheet1!$G$5:$G$6</c:f>
              <c:strCache>
                <c:ptCount val="1"/>
                <c:pt idx="0">
                  <c:v>Government should reduce differences in income levels Disagree strongly</c:v>
                </c:pt>
              </c:strCache>
            </c:strRef>
          </c:tx>
          <c:invertIfNegative val="0"/>
          <c:cat>
            <c:strRef>
              <c:f>Sheet1!$B$7:$B$14</c:f>
              <c:strCache>
                <c:ptCount val="8"/>
                <c:pt idx="0">
                  <c:v>Germany</c:v>
                </c:pt>
                <c:pt idx="1">
                  <c:v>Denmark</c:v>
                </c:pt>
                <c:pt idx="2">
                  <c:v>France</c:v>
                </c:pt>
                <c:pt idx="3">
                  <c:v>United Kingdom</c:v>
                </c:pt>
                <c:pt idx="4">
                  <c:v>Greece</c:v>
                </c:pt>
                <c:pt idx="5">
                  <c:v>Norway</c:v>
                </c:pt>
                <c:pt idx="6">
                  <c:v>Sweden</c:v>
                </c:pt>
                <c:pt idx="7">
                  <c:v>Slovenia</c:v>
                </c:pt>
              </c:strCache>
            </c:strRef>
          </c:cat>
          <c:val>
            <c:numRef>
              <c:f>Sheet1!$G$7:$G$14</c:f>
            </c:numRef>
          </c:val>
        </c:ser>
        <c:ser>
          <c:idx val="5"/>
          <c:order val="5"/>
          <c:tx>
            <c:strRef>
              <c:f>Sheet1!$H$5:$H$6</c:f>
              <c:strCache>
                <c:ptCount val="1"/>
                <c:pt idx="0">
                  <c:v>Total</c:v>
                </c:pt>
              </c:strCache>
            </c:strRef>
          </c:tx>
          <c:invertIfNegative val="0"/>
          <c:cat>
            <c:strRef>
              <c:f>Sheet1!$B$7:$B$14</c:f>
              <c:strCache>
                <c:ptCount val="8"/>
                <c:pt idx="0">
                  <c:v>Germany</c:v>
                </c:pt>
                <c:pt idx="1">
                  <c:v>Denmark</c:v>
                </c:pt>
                <c:pt idx="2">
                  <c:v>France</c:v>
                </c:pt>
                <c:pt idx="3">
                  <c:v>United Kingdom</c:v>
                </c:pt>
                <c:pt idx="4">
                  <c:v>Greece</c:v>
                </c:pt>
                <c:pt idx="5">
                  <c:v>Norway</c:v>
                </c:pt>
                <c:pt idx="6">
                  <c:v>Sweden</c:v>
                </c:pt>
                <c:pt idx="7">
                  <c:v>Slovenia</c:v>
                </c:pt>
              </c:strCache>
            </c:strRef>
          </c:cat>
          <c:val>
            <c:numRef>
              <c:f>Sheet1!$H$7:$H$14</c:f>
            </c:numRef>
          </c:val>
        </c:ser>
        <c:ser>
          <c:idx val="6"/>
          <c:order val="6"/>
          <c:tx>
            <c:strRef>
              <c:f>Sheet1!$I$5:$I$6</c:f>
              <c:strCache>
                <c:ptCount val="1"/>
                <c:pt idx="0">
                  <c:v>Total</c:v>
                </c:pt>
              </c:strCache>
            </c:strRef>
          </c:tx>
          <c:invertIfNegative val="0"/>
          <c:cat>
            <c:strRef>
              <c:f>Sheet1!$B$7:$B$14</c:f>
              <c:strCache>
                <c:ptCount val="8"/>
                <c:pt idx="0">
                  <c:v>Germany</c:v>
                </c:pt>
                <c:pt idx="1">
                  <c:v>Denmark</c:v>
                </c:pt>
                <c:pt idx="2">
                  <c:v>France</c:v>
                </c:pt>
                <c:pt idx="3">
                  <c:v>United Kingdom</c:v>
                </c:pt>
                <c:pt idx="4">
                  <c:v>Greece</c:v>
                </c:pt>
                <c:pt idx="5">
                  <c:v>Norway</c:v>
                </c:pt>
                <c:pt idx="6">
                  <c:v>Sweden</c:v>
                </c:pt>
                <c:pt idx="7">
                  <c:v>Slovenia</c:v>
                </c:pt>
              </c:strCache>
            </c:strRef>
          </c:cat>
          <c:val>
            <c:numRef>
              <c:f>Sheet1!$I$7:$I$14</c:f>
            </c:numRef>
          </c:val>
        </c:ser>
        <c:ser>
          <c:idx val="7"/>
          <c:order val="7"/>
          <c:tx>
            <c:strRef>
              <c:f>Sheet1!$J$5:$J$6</c:f>
              <c:strCache>
                <c:ptCount val="1"/>
                <c:pt idx="0">
                  <c:v>Total % Agree</c:v>
                </c:pt>
              </c:strCache>
            </c:strRef>
          </c:tx>
          <c:spPr>
            <a:solidFill>
              <a:schemeClr val="accent1"/>
            </a:solidFill>
          </c:spPr>
          <c:invertIfNegative val="0"/>
          <c:cat>
            <c:strRef>
              <c:f>Sheet1!$B$7:$B$14</c:f>
              <c:strCache>
                <c:ptCount val="8"/>
                <c:pt idx="0">
                  <c:v>Germany</c:v>
                </c:pt>
                <c:pt idx="1">
                  <c:v>Denmark</c:v>
                </c:pt>
                <c:pt idx="2">
                  <c:v>France</c:v>
                </c:pt>
                <c:pt idx="3">
                  <c:v>United Kingdom</c:v>
                </c:pt>
                <c:pt idx="4">
                  <c:v>Greece</c:v>
                </c:pt>
                <c:pt idx="5">
                  <c:v>Norway</c:v>
                </c:pt>
                <c:pt idx="6">
                  <c:v>Sweden</c:v>
                </c:pt>
                <c:pt idx="7">
                  <c:v>Slovenia</c:v>
                </c:pt>
              </c:strCache>
            </c:strRef>
          </c:cat>
          <c:val>
            <c:numRef>
              <c:f>Sheet1!$J$7:$J$14</c:f>
              <c:numCache>
                <c:formatCode>###0.0%</c:formatCode>
                <c:ptCount val="8"/>
                <c:pt idx="0">
                  <c:v>0.68316100443131467</c:v>
                </c:pt>
                <c:pt idx="1">
                  <c:v>0.41645408163265329</c:v>
                </c:pt>
                <c:pt idx="2">
                  <c:v>0.78008699855002428</c:v>
                </c:pt>
                <c:pt idx="3">
                  <c:v>0.58813413585554575</c:v>
                </c:pt>
                <c:pt idx="4">
                  <c:v>0.92034968431277342</c:v>
                </c:pt>
                <c:pt idx="5">
                  <c:v>0.59844559585492207</c:v>
                </c:pt>
                <c:pt idx="6">
                  <c:v>0.64024390243902474</c:v>
                </c:pt>
                <c:pt idx="7">
                  <c:v>0.86645718774548308</c:v>
                </c:pt>
              </c:numCache>
            </c:numRef>
          </c:val>
        </c:ser>
        <c:ser>
          <c:idx val="8"/>
          <c:order val="8"/>
          <c:tx>
            <c:strRef>
              <c:f>Sheet1!$K$5:$K$6</c:f>
              <c:strCache>
                <c:ptCount val="1"/>
                <c:pt idx="0">
                  <c:v>Total % Disagree</c:v>
                </c:pt>
              </c:strCache>
            </c:strRef>
          </c:tx>
          <c:spPr>
            <a:solidFill>
              <a:schemeClr val="accent2"/>
            </a:solidFill>
          </c:spPr>
          <c:invertIfNegative val="0"/>
          <c:cat>
            <c:strRef>
              <c:f>Sheet1!$B$7:$B$14</c:f>
              <c:strCache>
                <c:ptCount val="8"/>
                <c:pt idx="0">
                  <c:v>Germany</c:v>
                </c:pt>
                <c:pt idx="1">
                  <c:v>Denmark</c:v>
                </c:pt>
                <c:pt idx="2">
                  <c:v>France</c:v>
                </c:pt>
                <c:pt idx="3">
                  <c:v>United Kingdom</c:v>
                </c:pt>
                <c:pt idx="4">
                  <c:v>Greece</c:v>
                </c:pt>
                <c:pt idx="5">
                  <c:v>Norway</c:v>
                </c:pt>
                <c:pt idx="6">
                  <c:v>Sweden</c:v>
                </c:pt>
                <c:pt idx="7">
                  <c:v>Slovenia</c:v>
                </c:pt>
              </c:strCache>
            </c:strRef>
          </c:cat>
          <c:val>
            <c:numRef>
              <c:f>Sheet1!$K$7:$K$14</c:f>
              <c:numCache>
                <c:formatCode>###0.0%</c:formatCode>
                <c:ptCount val="8"/>
                <c:pt idx="0">
                  <c:v>0.16654357459379621</c:v>
                </c:pt>
                <c:pt idx="1">
                  <c:v>0.36033163265306128</c:v>
                </c:pt>
                <c:pt idx="2">
                  <c:v>0.10874818753020787</c:v>
                </c:pt>
                <c:pt idx="3">
                  <c:v>0.20937231298366291</c:v>
                </c:pt>
                <c:pt idx="4">
                  <c:v>1.6027197668771257E-2</c:v>
                </c:pt>
                <c:pt idx="5">
                  <c:v>0.18393782383419696</c:v>
                </c:pt>
                <c:pt idx="6">
                  <c:v>0.12195121951219511</c:v>
                </c:pt>
                <c:pt idx="7">
                  <c:v>5.4202670856245146E-2</c:v>
                </c:pt>
              </c:numCache>
            </c:numRef>
          </c:val>
        </c:ser>
        <c:ser>
          <c:idx val="9"/>
          <c:order val="9"/>
          <c:tx>
            <c:strRef>
              <c:f>Sheet1!$L$5:$L$6</c:f>
              <c:strCache>
                <c:ptCount val="1"/>
                <c:pt idx="0">
                  <c:v>Total % Neither agree nor disagree</c:v>
                </c:pt>
              </c:strCache>
            </c:strRef>
          </c:tx>
          <c:spPr>
            <a:solidFill>
              <a:schemeClr val="bg1">
                <a:lumMod val="85000"/>
              </a:schemeClr>
            </a:solidFill>
          </c:spPr>
          <c:invertIfNegative val="0"/>
          <c:cat>
            <c:strRef>
              <c:f>Sheet1!$B$7:$B$14</c:f>
              <c:strCache>
                <c:ptCount val="8"/>
                <c:pt idx="0">
                  <c:v>Germany</c:v>
                </c:pt>
                <c:pt idx="1">
                  <c:v>Denmark</c:v>
                </c:pt>
                <c:pt idx="2">
                  <c:v>France</c:v>
                </c:pt>
                <c:pt idx="3">
                  <c:v>United Kingdom</c:v>
                </c:pt>
                <c:pt idx="4">
                  <c:v>Greece</c:v>
                </c:pt>
                <c:pt idx="5">
                  <c:v>Norway</c:v>
                </c:pt>
                <c:pt idx="6">
                  <c:v>Sweden</c:v>
                </c:pt>
                <c:pt idx="7">
                  <c:v>Slovenia</c:v>
                </c:pt>
              </c:strCache>
            </c:strRef>
          </c:cat>
          <c:val>
            <c:numRef>
              <c:f>Sheet1!$L$7:$L$14</c:f>
              <c:numCache>
                <c:formatCode>###0.0%</c:formatCode>
                <c:ptCount val="8"/>
                <c:pt idx="0">
                  <c:v>0.15029542097488921</c:v>
                </c:pt>
                <c:pt idx="1">
                  <c:v>0.22321428571428578</c:v>
                </c:pt>
                <c:pt idx="2">
                  <c:v>0.11116481391976797</c:v>
                </c:pt>
                <c:pt idx="3">
                  <c:v>0.20249355116079112</c:v>
                </c:pt>
                <c:pt idx="4">
                  <c:v>6.3623118018455549E-2</c:v>
                </c:pt>
                <c:pt idx="5">
                  <c:v>0.21761658031088088</c:v>
                </c:pt>
                <c:pt idx="6">
                  <c:v>0.23780487804878045</c:v>
                </c:pt>
                <c:pt idx="7">
                  <c:v>7.9340141398271793E-2</c:v>
                </c:pt>
              </c:numCache>
            </c:numRef>
          </c:val>
        </c:ser>
        <c:dLbls>
          <c:showLegendKey val="0"/>
          <c:showVal val="0"/>
          <c:showCatName val="0"/>
          <c:showSerName val="0"/>
          <c:showPercent val="0"/>
          <c:showBubbleSize val="0"/>
        </c:dLbls>
        <c:gapWidth val="150"/>
        <c:axId val="312958432"/>
        <c:axId val="312958824"/>
      </c:barChart>
      <c:catAx>
        <c:axId val="312958432"/>
        <c:scaling>
          <c:orientation val="minMax"/>
        </c:scaling>
        <c:delete val="0"/>
        <c:axPos val="b"/>
        <c:numFmt formatCode="General" sourceLinked="0"/>
        <c:majorTickMark val="out"/>
        <c:minorTickMark val="none"/>
        <c:tickLblPos val="nextTo"/>
        <c:crossAx val="312958824"/>
        <c:crosses val="autoZero"/>
        <c:auto val="1"/>
        <c:lblAlgn val="ctr"/>
        <c:lblOffset val="100"/>
        <c:noMultiLvlLbl val="0"/>
      </c:catAx>
      <c:valAx>
        <c:axId val="312958824"/>
        <c:scaling>
          <c:orientation val="minMax"/>
        </c:scaling>
        <c:delete val="0"/>
        <c:axPos val="l"/>
        <c:majorGridlines/>
        <c:numFmt formatCode="###0.0%" sourceLinked="1"/>
        <c:majorTickMark val="out"/>
        <c:minorTickMark val="none"/>
        <c:tickLblPos val="nextTo"/>
        <c:crossAx val="312958432"/>
        <c:crosses val="autoZero"/>
        <c:crossBetween val="between"/>
      </c:valAx>
    </c:plotArea>
    <c:legend>
      <c:legendPos val="r"/>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Sheet1!$C$5:$C$6</c:f>
              <c:strCache>
                <c:ptCount val="1"/>
                <c:pt idx="0">
                  <c:v>Q6a Differences in income in &lt;Rs country&gt; are too large. Strongly agree</c:v>
                </c:pt>
              </c:strCache>
            </c:strRef>
          </c:tx>
          <c:invertIfNegative val="0"/>
          <c:cat>
            <c:strRef>
              <c:f>Sheet1!$A$7:$B$48</c:f>
              <c:strCache>
                <c:ptCount val="8"/>
                <c:pt idx="0">
                  <c:v>Denmark</c:v>
                </c:pt>
                <c:pt idx="1">
                  <c:v>France</c:v>
                </c:pt>
                <c:pt idx="2">
                  <c:v>Germany</c:v>
                </c:pt>
                <c:pt idx="3">
                  <c:v>Italy</c:v>
                </c:pt>
                <c:pt idx="4">
                  <c:v>Norway</c:v>
                </c:pt>
                <c:pt idx="5">
                  <c:v>Slovenia</c:v>
                </c:pt>
                <c:pt idx="6">
                  <c:v>Sweden</c:v>
                </c:pt>
                <c:pt idx="7">
                  <c:v>Great Britain</c:v>
                </c:pt>
              </c:strCache>
            </c:strRef>
          </c:cat>
          <c:val>
            <c:numRef>
              <c:f>Sheet1!$C$7:$C$48</c:f>
            </c:numRef>
          </c:val>
        </c:ser>
        <c:ser>
          <c:idx val="1"/>
          <c:order val="1"/>
          <c:tx>
            <c:strRef>
              <c:f>Sheet1!$D$5:$D$6</c:f>
              <c:strCache>
                <c:ptCount val="1"/>
                <c:pt idx="0">
                  <c:v>Q6a Differences in income in &lt;Rs country&gt; are too large. Agree</c:v>
                </c:pt>
              </c:strCache>
            </c:strRef>
          </c:tx>
          <c:invertIfNegative val="0"/>
          <c:cat>
            <c:strRef>
              <c:f>Sheet1!$A$7:$B$48</c:f>
              <c:strCache>
                <c:ptCount val="8"/>
                <c:pt idx="0">
                  <c:v>Denmark</c:v>
                </c:pt>
                <c:pt idx="1">
                  <c:v>France</c:v>
                </c:pt>
                <c:pt idx="2">
                  <c:v>Germany</c:v>
                </c:pt>
                <c:pt idx="3">
                  <c:v>Italy</c:v>
                </c:pt>
                <c:pt idx="4">
                  <c:v>Norway</c:v>
                </c:pt>
                <c:pt idx="5">
                  <c:v>Slovenia</c:v>
                </c:pt>
                <c:pt idx="6">
                  <c:v>Sweden</c:v>
                </c:pt>
                <c:pt idx="7">
                  <c:v>Great Britain</c:v>
                </c:pt>
              </c:strCache>
            </c:strRef>
          </c:cat>
          <c:val>
            <c:numRef>
              <c:f>Sheet1!$D$7:$D$48</c:f>
            </c:numRef>
          </c:val>
        </c:ser>
        <c:ser>
          <c:idx val="2"/>
          <c:order val="2"/>
          <c:tx>
            <c:strRef>
              <c:f>Sheet1!$E$5:$E$6</c:f>
              <c:strCache>
                <c:ptCount val="1"/>
                <c:pt idx="0">
                  <c:v>Q6a Differences in income in &lt;Rs country&gt; are too large. Neither agree nor disagree</c:v>
                </c:pt>
              </c:strCache>
            </c:strRef>
          </c:tx>
          <c:invertIfNegative val="0"/>
          <c:cat>
            <c:strRef>
              <c:f>Sheet1!$A$7:$B$48</c:f>
              <c:strCache>
                <c:ptCount val="8"/>
                <c:pt idx="0">
                  <c:v>Denmark</c:v>
                </c:pt>
                <c:pt idx="1">
                  <c:v>France</c:v>
                </c:pt>
                <c:pt idx="2">
                  <c:v>Germany</c:v>
                </c:pt>
                <c:pt idx="3">
                  <c:v>Italy</c:v>
                </c:pt>
                <c:pt idx="4">
                  <c:v>Norway</c:v>
                </c:pt>
                <c:pt idx="5">
                  <c:v>Slovenia</c:v>
                </c:pt>
                <c:pt idx="6">
                  <c:v>Sweden</c:v>
                </c:pt>
                <c:pt idx="7">
                  <c:v>Great Britain</c:v>
                </c:pt>
              </c:strCache>
            </c:strRef>
          </c:cat>
          <c:val>
            <c:numRef>
              <c:f>Sheet1!$E$7:$E$48</c:f>
            </c:numRef>
          </c:val>
        </c:ser>
        <c:ser>
          <c:idx val="3"/>
          <c:order val="3"/>
          <c:tx>
            <c:strRef>
              <c:f>Sheet1!$F$5:$F$6</c:f>
              <c:strCache>
                <c:ptCount val="1"/>
                <c:pt idx="0">
                  <c:v>Q6a Differences in income in &lt;Rs country&gt; are too large. Disagree</c:v>
                </c:pt>
              </c:strCache>
            </c:strRef>
          </c:tx>
          <c:invertIfNegative val="0"/>
          <c:cat>
            <c:strRef>
              <c:f>Sheet1!$A$7:$B$48</c:f>
              <c:strCache>
                <c:ptCount val="8"/>
                <c:pt idx="0">
                  <c:v>Denmark</c:v>
                </c:pt>
                <c:pt idx="1">
                  <c:v>France</c:v>
                </c:pt>
                <c:pt idx="2">
                  <c:v>Germany</c:v>
                </c:pt>
                <c:pt idx="3">
                  <c:v>Italy</c:v>
                </c:pt>
                <c:pt idx="4">
                  <c:v>Norway</c:v>
                </c:pt>
                <c:pt idx="5">
                  <c:v>Slovenia</c:v>
                </c:pt>
                <c:pt idx="6">
                  <c:v>Sweden</c:v>
                </c:pt>
                <c:pt idx="7">
                  <c:v>Great Britain</c:v>
                </c:pt>
              </c:strCache>
            </c:strRef>
          </c:cat>
          <c:val>
            <c:numRef>
              <c:f>Sheet1!$F$7:$F$48</c:f>
            </c:numRef>
          </c:val>
        </c:ser>
        <c:ser>
          <c:idx val="4"/>
          <c:order val="4"/>
          <c:tx>
            <c:strRef>
              <c:f>Sheet1!$G$5:$G$6</c:f>
              <c:strCache>
                <c:ptCount val="1"/>
                <c:pt idx="0">
                  <c:v>Q6a Differences in income in &lt;Rs country&gt; are too large. Strongly disagree</c:v>
                </c:pt>
              </c:strCache>
            </c:strRef>
          </c:tx>
          <c:invertIfNegative val="0"/>
          <c:cat>
            <c:strRef>
              <c:f>Sheet1!$A$7:$B$48</c:f>
              <c:strCache>
                <c:ptCount val="8"/>
                <c:pt idx="0">
                  <c:v>Denmark</c:v>
                </c:pt>
                <c:pt idx="1">
                  <c:v>France</c:v>
                </c:pt>
                <c:pt idx="2">
                  <c:v>Germany</c:v>
                </c:pt>
                <c:pt idx="3">
                  <c:v>Italy</c:v>
                </c:pt>
                <c:pt idx="4">
                  <c:v>Norway</c:v>
                </c:pt>
                <c:pt idx="5">
                  <c:v>Slovenia</c:v>
                </c:pt>
                <c:pt idx="6">
                  <c:v>Sweden</c:v>
                </c:pt>
                <c:pt idx="7">
                  <c:v>Great Britain</c:v>
                </c:pt>
              </c:strCache>
            </c:strRef>
          </c:cat>
          <c:val>
            <c:numRef>
              <c:f>Sheet1!$G$7:$G$48</c:f>
            </c:numRef>
          </c:val>
        </c:ser>
        <c:ser>
          <c:idx val="5"/>
          <c:order val="5"/>
          <c:tx>
            <c:strRef>
              <c:f>Sheet1!$H$5:$H$6</c:f>
              <c:strCache>
                <c:ptCount val="1"/>
                <c:pt idx="0">
                  <c:v>Total</c:v>
                </c:pt>
              </c:strCache>
            </c:strRef>
          </c:tx>
          <c:invertIfNegative val="0"/>
          <c:cat>
            <c:strRef>
              <c:f>Sheet1!$A$7:$B$48</c:f>
              <c:strCache>
                <c:ptCount val="8"/>
                <c:pt idx="0">
                  <c:v>Denmark</c:v>
                </c:pt>
                <c:pt idx="1">
                  <c:v>France</c:v>
                </c:pt>
                <c:pt idx="2">
                  <c:v>Germany</c:v>
                </c:pt>
                <c:pt idx="3">
                  <c:v>Italy</c:v>
                </c:pt>
                <c:pt idx="4">
                  <c:v>Norway</c:v>
                </c:pt>
                <c:pt idx="5">
                  <c:v>Slovenia</c:v>
                </c:pt>
                <c:pt idx="6">
                  <c:v>Sweden</c:v>
                </c:pt>
                <c:pt idx="7">
                  <c:v>Great Britain</c:v>
                </c:pt>
              </c:strCache>
            </c:strRef>
          </c:cat>
          <c:val>
            <c:numRef>
              <c:f>Sheet1!$H$7:$H$48</c:f>
            </c:numRef>
          </c:val>
        </c:ser>
        <c:ser>
          <c:idx val="6"/>
          <c:order val="6"/>
          <c:tx>
            <c:strRef>
              <c:f>Sheet1!$I$5:$I$6</c:f>
              <c:strCache>
                <c:ptCount val="1"/>
                <c:pt idx="0">
                  <c:v>Total % Agree</c:v>
                </c:pt>
              </c:strCache>
            </c:strRef>
          </c:tx>
          <c:spPr>
            <a:solidFill>
              <a:schemeClr val="accent1"/>
            </a:solidFill>
          </c:spPr>
          <c:invertIfNegative val="0"/>
          <c:cat>
            <c:strRef>
              <c:f>Sheet1!$A$7:$B$48</c:f>
              <c:strCache>
                <c:ptCount val="8"/>
                <c:pt idx="0">
                  <c:v>Denmark</c:v>
                </c:pt>
                <c:pt idx="1">
                  <c:v>France</c:v>
                </c:pt>
                <c:pt idx="2">
                  <c:v>Germany</c:v>
                </c:pt>
                <c:pt idx="3">
                  <c:v>Italy</c:v>
                </c:pt>
                <c:pt idx="4">
                  <c:v>Norway</c:v>
                </c:pt>
                <c:pt idx="5">
                  <c:v>Slovenia</c:v>
                </c:pt>
                <c:pt idx="6">
                  <c:v>Sweden</c:v>
                </c:pt>
                <c:pt idx="7">
                  <c:v>Great Britain</c:v>
                </c:pt>
              </c:strCache>
            </c:strRef>
          </c:cat>
          <c:val>
            <c:numRef>
              <c:f>Sheet1!$I$7:$I$48</c:f>
              <c:numCache>
                <c:formatCode>###0.0%</c:formatCode>
                <c:ptCount val="8"/>
                <c:pt idx="0">
                  <c:v>0.62363387978142071</c:v>
                </c:pt>
                <c:pt idx="1">
                  <c:v>0.90981240981240941</c:v>
                </c:pt>
                <c:pt idx="2">
                  <c:v>0.91223586905674259</c:v>
                </c:pt>
                <c:pt idx="3">
                  <c:v>0.93833017077798841</c:v>
                </c:pt>
                <c:pt idx="4">
                  <c:v>0.60704022988505768</c:v>
                </c:pt>
                <c:pt idx="5">
                  <c:v>0.9533777354900097</c:v>
                </c:pt>
                <c:pt idx="6">
                  <c:v>0.73056057866184443</c:v>
                </c:pt>
                <c:pt idx="7">
                  <c:v>0.77145922746781148</c:v>
                </c:pt>
              </c:numCache>
            </c:numRef>
          </c:val>
        </c:ser>
        <c:ser>
          <c:idx val="7"/>
          <c:order val="7"/>
          <c:tx>
            <c:strRef>
              <c:f>Sheet1!$J$5:$J$6</c:f>
              <c:strCache>
                <c:ptCount val="1"/>
                <c:pt idx="0">
                  <c:v>Total % Disagree</c:v>
                </c:pt>
              </c:strCache>
            </c:strRef>
          </c:tx>
          <c:spPr>
            <a:solidFill>
              <a:schemeClr val="accent2"/>
            </a:solidFill>
          </c:spPr>
          <c:invertIfNegative val="0"/>
          <c:cat>
            <c:strRef>
              <c:f>Sheet1!$A$7:$B$48</c:f>
              <c:strCache>
                <c:ptCount val="8"/>
                <c:pt idx="0">
                  <c:v>Denmark</c:v>
                </c:pt>
                <c:pt idx="1">
                  <c:v>France</c:v>
                </c:pt>
                <c:pt idx="2">
                  <c:v>Germany</c:v>
                </c:pt>
                <c:pt idx="3">
                  <c:v>Italy</c:v>
                </c:pt>
                <c:pt idx="4">
                  <c:v>Norway</c:v>
                </c:pt>
                <c:pt idx="5">
                  <c:v>Slovenia</c:v>
                </c:pt>
                <c:pt idx="6">
                  <c:v>Sweden</c:v>
                </c:pt>
                <c:pt idx="7">
                  <c:v>Great Britain</c:v>
                </c:pt>
              </c:strCache>
            </c:strRef>
          </c:cat>
          <c:val>
            <c:numRef>
              <c:f>Sheet1!$J$7:$J$48</c:f>
              <c:numCache>
                <c:formatCode>###0.0%</c:formatCode>
                <c:ptCount val="8"/>
                <c:pt idx="0">
                  <c:v>0.22540983606557383</c:v>
                </c:pt>
                <c:pt idx="1">
                  <c:v>3.1024531024531024E-2</c:v>
                </c:pt>
                <c:pt idx="2">
                  <c:v>4.4206786037762139E-2</c:v>
                </c:pt>
                <c:pt idx="3">
                  <c:v>1.4231499051233399E-2</c:v>
                </c:pt>
                <c:pt idx="4">
                  <c:v>0.18247126436781613</c:v>
                </c:pt>
                <c:pt idx="5">
                  <c:v>1.9980970504281648E-2</c:v>
                </c:pt>
                <c:pt idx="6">
                  <c:v>9.7649186256781179E-2</c:v>
                </c:pt>
                <c:pt idx="7">
                  <c:v>7.9399141630901324E-2</c:v>
                </c:pt>
              </c:numCache>
            </c:numRef>
          </c:val>
        </c:ser>
        <c:ser>
          <c:idx val="8"/>
          <c:order val="8"/>
          <c:tx>
            <c:strRef>
              <c:f>Sheet1!$K$5:$K$6</c:f>
              <c:strCache>
                <c:ptCount val="1"/>
                <c:pt idx="0">
                  <c:v>Total % Neither agree not disagree</c:v>
                </c:pt>
              </c:strCache>
            </c:strRef>
          </c:tx>
          <c:spPr>
            <a:solidFill>
              <a:schemeClr val="bg1">
                <a:lumMod val="85000"/>
              </a:schemeClr>
            </a:solidFill>
          </c:spPr>
          <c:invertIfNegative val="0"/>
          <c:cat>
            <c:strRef>
              <c:f>Sheet1!$A$7:$B$48</c:f>
              <c:strCache>
                <c:ptCount val="8"/>
                <c:pt idx="0">
                  <c:v>Denmark</c:v>
                </c:pt>
                <c:pt idx="1">
                  <c:v>France</c:v>
                </c:pt>
                <c:pt idx="2">
                  <c:v>Germany</c:v>
                </c:pt>
                <c:pt idx="3">
                  <c:v>Italy</c:v>
                </c:pt>
                <c:pt idx="4">
                  <c:v>Norway</c:v>
                </c:pt>
                <c:pt idx="5">
                  <c:v>Slovenia</c:v>
                </c:pt>
                <c:pt idx="6">
                  <c:v>Sweden</c:v>
                </c:pt>
                <c:pt idx="7">
                  <c:v>Great Britain</c:v>
                </c:pt>
              </c:strCache>
            </c:strRef>
          </c:cat>
          <c:val>
            <c:numRef>
              <c:f>Sheet1!$K$7:$K$48</c:f>
              <c:numCache>
                <c:formatCode>###0.0%</c:formatCode>
                <c:ptCount val="8"/>
                <c:pt idx="0">
                  <c:v>0.15095628415300558</c:v>
                </c:pt>
                <c:pt idx="1">
                  <c:v>5.916305916305916E-2</c:v>
                </c:pt>
                <c:pt idx="2">
                  <c:v>4.3557344905495107E-2</c:v>
                </c:pt>
                <c:pt idx="3">
                  <c:v>4.743833017077799E-2</c:v>
                </c:pt>
                <c:pt idx="4">
                  <c:v>0.21048850574712652</c:v>
                </c:pt>
                <c:pt idx="5">
                  <c:v>2.6641294005708856E-2</c:v>
                </c:pt>
                <c:pt idx="6">
                  <c:v>0.17179023508137445</c:v>
                </c:pt>
                <c:pt idx="7">
                  <c:v>0.14914163090128754</c:v>
                </c:pt>
              </c:numCache>
            </c:numRef>
          </c:val>
        </c:ser>
        <c:dLbls>
          <c:showLegendKey val="0"/>
          <c:showVal val="0"/>
          <c:showCatName val="0"/>
          <c:showSerName val="0"/>
          <c:showPercent val="0"/>
          <c:showBubbleSize val="0"/>
        </c:dLbls>
        <c:gapWidth val="150"/>
        <c:axId val="312951768"/>
        <c:axId val="312957648"/>
      </c:barChart>
      <c:catAx>
        <c:axId val="312951768"/>
        <c:scaling>
          <c:orientation val="minMax"/>
        </c:scaling>
        <c:delete val="0"/>
        <c:axPos val="b"/>
        <c:numFmt formatCode="General" sourceLinked="0"/>
        <c:majorTickMark val="out"/>
        <c:minorTickMark val="none"/>
        <c:tickLblPos val="nextTo"/>
        <c:crossAx val="312957648"/>
        <c:crosses val="autoZero"/>
        <c:auto val="1"/>
        <c:lblAlgn val="ctr"/>
        <c:lblOffset val="100"/>
        <c:noMultiLvlLbl val="0"/>
      </c:catAx>
      <c:valAx>
        <c:axId val="312957648"/>
        <c:scaling>
          <c:orientation val="minMax"/>
          <c:max val="1"/>
        </c:scaling>
        <c:delete val="0"/>
        <c:axPos val="l"/>
        <c:majorGridlines/>
        <c:numFmt formatCode="###0.0%" sourceLinked="1"/>
        <c:majorTickMark val="out"/>
        <c:minorTickMark val="none"/>
        <c:tickLblPos val="nextTo"/>
        <c:crossAx val="312951768"/>
        <c:crosses val="autoZero"/>
        <c:crossBetween val="between"/>
      </c:valAx>
    </c:plotArea>
    <c:legend>
      <c:legendPos val="r"/>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314129483814524"/>
          <c:y val="4.6770924467774859E-2"/>
          <c:w val="0.4915944881889765"/>
          <c:h val="0.63384441528142355"/>
        </c:manualLayout>
      </c:layout>
      <c:barChart>
        <c:barDir val="col"/>
        <c:grouping val="clustered"/>
        <c:varyColors val="0"/>
        <c:ser>
          <c:idx val="0"/>
          <c:order val="0"/>
          <c:tx>
            <c:strRef>
              <c:f>Sheet1!$C$1:$C$9</c:f>
              <c:strCache>
                <c:ptCount val="1"/>
                <c:pt idx="0">
                  <c:v>For fair society, differences in standard of living should be small Agree strongly</c:v>
                </c:pt>
              </c:strCache>
            </c:strRef>
          </c:tx>
          <c:invertIfNegative val="0"/>
          <c:cat>
            <c:strRef>
              <c:f>Sheet1!$B$10:$B$17</c:f>
              <c:strCache>
                <c:ptCount val="8"/>
                <c:pt idx="0">
                  <c:v>Germany</c:v>
                </c:pt>
                <c:pt idx="1">
                  <c:v>Denmark</c:v>
                </c:pt>
                <c:pt idx="2">
                  <c:v>France</c:v>
                </c:pt>
                <c:pt idx="3">
                  <c:v>United Kingdom</c:v>
                </c:pt>
                <c:pt idx="4">
                  <c:v>Greece</c:v>
                </c:pt>
                <c:pt idx="5">
                  <c:v>Norway</c:v>
                </c:pt>
                <c:pt idx="6">
                  <c:v>Sweden</c:v>
                </c:pt>
                <c:pt idx="7">
                  <c:v>Slovenia</c:v>
                </c:pt>
              </c:strCache>
            </c:strRef>
          </c:cat>
          <c:val>
            <c:numRef>
              <c:f>Sheet1!$C$10:$C$17</c:f>
            </c:numRef>
          </c:val>
        </c:ser>
        <c:ser>
          <c:idx val="1"/>
          <c:order val="1"/>
          <c:tx>
            <c:strRef>
              <c:f>Sheet1!$D$1:$D$9</c:f>
              <c:strCache>
                <c:ptCount val="1"/>
                <c:pt idx="0">
                  <c:v>For fair society, differences in standard of living should be small Agree</c:v>
                </c:pt>
              </c:strCache>
            </c:strRef>
          </c:tx>
          <c:invertIfNegative val="0"/>
          <c:cat>
            <c:strRef>
              <c:f>Sheet1!$B$10:$B$17</c:f>
              <c:strCache>
                <c:ptCount val="8"/>
                <c:pt idx="0">
                  <c:v>Germany</c:v>
                </c:pt>
                <c:pt idx="1">
                  <c:v>Denmark</c:v>
                </c:pt>
                <c:pt idx="2">
                  <c:v>France</c:v>
                </c:pt>
                <c:pt idx="3">
                  <c:v>United Kingdom</c:v>
                </c:pt>
                <c:pt idx="4">
                  <c:v>Greece</c:v>
                </c:pt>
                <c:pt idx="5">
                  <c:v>Norway</c:v>
                </c:pt>
                <c:pt idx="6">
                  <c:v>Sweden</c:v>
                </c:pt>
                <c:pt idx="7">
                  <c:v>Slovenia</c:v>
                </c:pt>
              </c:strCache>
            </c:strRef>
          </c:cat>
          <c:val>
            <c:numRef>
              <c:f>Sheet1!$D$10:$D$17</c:f>
            </c:numRef>
          </c:val>
        </c:ser>
        <c:ser>
          <c:idx val="2"/>
          <c:order val="2"/>
          <c:tx>
            <c:strRef>
              <c:f>Sheet1!$E$1:$E$9</c:f>
              <c:strCache>
                <c:ptCount val="1"/>
                <c:pt idx="0">
                  <c:v>For fair society, differences in standard of living should be small Neither agree nor disagree</c:v>
                </c:pt>
              </c:strCache>
            </c:strRef>
          </c:tx>
          <c:invertIfNegative val="0"/>
          <c:cat>
            <c:strRef>
              <c:f>Sheet1!$B$10:$B$17</c:f>
              <c:strCache>
                <c:ptCount val="8"/>
                <c:pt idx="0">
                  <c:v>Germany</c:v>
                </c:pt>
                <c:pt idx="1">
                  <c:v>Denmark</c:v>
                </c:pt>
                <c:pt idx="2">
                  <c:v>France</c:v>
                </c:pt>
                <c:pt idx="3">
                  <c:v>United Kingdom</c:v>
                </c:pt>
                <c:pt idx="4">
                  <c:v>Greece</c:v>
                </c:pt>
                <c:pt idx="5">
                  <c:v>Norway</c:v>
                </c:pt>
                <c:pt idx="6">
                  <c:v>Sweden</c:v>
                </c:pt>
                <c:pt idx="7">
                  <c:v>Slovenia</c:v>
                </c:pt>
              </c:strCache>
            </c:strRef>
          </c:cat>
          <c:val>
            <c:numRef>
              <c:f>Sheet1!$E$10:$E$17</c:f>
            </c:numRef>
          </c:val>
        </c:ser>
        <c:ser>
          <c:idx val="3"/>
          <c:order val="3"/>
          <c:tx>
            <c:strRef>
              <c:f>Sheet1!$F$1:$F$9</c:f>
              <c:strCache>
                <c:ptCount val="1"/>
                <c:pt idx="0">
                  <c:v>For fair society, differences in standard of living should be small Disagree</c:v>
                </c:pt>
              </c:strCache>
            </c:strRef>
          </c:tx>
          <c:invertIfNegative val="0"/>
          <c:cat>
            <c:strRef>
              <c:f>Sheet1!$B$10:$B$17</c:f>
              <c:strCache>
                <c:ptCount val="8"/>
                <c:pt idx="0">
                  <c:v>Germany</c:v>
                </c:pt>
                <c:pt idx="1">
                  <c:v>Denmark</c:v>
                </c:pt>
                <c:pt idx="2">
                  <c:v>France</c:v>
                </c:pt>
                <c:pt idx="3">
                  <c:v>United Kingdom</c:v>
                </c:pt>
                <c:pt idx="4">
                  <c:v>Greece</c:v>
                </c:pt>
                <c:pt idx="5">
                  <c:v>Norway</c:v>
                </c:pt>
                <c:pt idx="6">
                  <c:v>Sweden</c:v>
                </c:pt>
                <c:pt idx="7">
                  <c:v>Slovenia</c:v>
                </c:pt>
              </c:strCache>
            </c:strRef>
          </c:cat>
          <c:val>
            <c:numRef>
              <c:f>Sheet1!$F$10:$F$17</c:f>
            </c:numRef>
          </c:val>
        </c:ser>
        <c:ser>
          <c:idx val="4"/>
          <c:order val="4"/>
          <c:tx>
            <c:strRef>
              <c:f>Sheet1!$G$1:$G$9</c:f>
              <c:strCache>
                <c:ptCount val="1"/>
                <c:pt idx="0">
                  <c:v>For fair society, differences in standard of living should be small Disagree strongly</c:v>
                </c:pt>
              </c:strCache>
            </c:strRef>
          </c:tx>
          <c:invertIfNegative val="0"/>
          <c:cat>
            <c:strRef>
              <c:f>Sheet1!$B$10:$B$17</c:f>
              <c:strCache>
                <c:ptCount val="8"/>
                <c:pt idx="0">
                  <c:v>Germany</c:v>
                </c:pt>
                <c:pt idx="1">
                  <c:v>Denmark</c:v>
                </c:pt>
                <c:pt idx="2">
                  <c:v>France</c:v>
                </c:pt>
                <c:pt idx="3">
                  <c:v>United Kingdom</c:v>
                </c:pt>
                <c:pt idx="4">
                  <c:v>Greece</c:v>
                </c:pt>
                <c:pt idx="5">
                  <c:v>Norway</c:v>
                </c:pt>
                <c:pt idx="6">
                  <c:v>Sweden</c:v>
                </c:pt>
                <c:pt idx="7">
                  <c:v>Slovenia</c:v>
                </c:pt>
              </c:strCache>
            </c:strRef>
          </c:cat>
          <c:val>
            <c:numRef>
              <c:f>Sheet1!$G$10:$G$17</c:f>
            </c:numRef>
          </c:val>
        </c:ser>
        <c:ser>
          <c:idx val="5"/>
          <c:order val="5"/>
          <c:tx>
            <c:strRef>
              <c:f>Sheet1!$H$1:$H$9</c:f>
              <c:strCache>
                <c:ptCount val="1"/>
                <c:pt idx="0">
                  <c:v>Total Disagree strongly</c:v>
                </c:pt>
              </c:strCache>
            </c:strRef>
          </c:tx>
          <c:invertIfNegative val="0"/>
          <c:cat>
            <c:strRef>
              <c:f>Sheet1!$B$10:$B$17</c:f>
              <c:strCache>
                <c:ptCount val="8"/>
                <c:pt idx="0">
                  <c:v>Germany</c:v>
                </c:pt>
                <c:pt idx="1">
                  <c:v>Denmark</c:v>
                </c:pt>
                <c:pt idx="2">
                  <c:v>France</c:v>
                </c:pt>
                <c:pt idx="3">
                  <c:v>United Kingdom</c:v>
                </c:pt>
                <c:pt idx="4">
                  <c:v>Greece</c:v>
                </c:pt>
                <c:pt idx="5">
                  <c:v>Norway</c:v>
                </c:pt>
                <c:pt idx="6">
                  <c:v>Sweden</c:v>
                </c:pt>
                <c:pt idx="7">
                  <c:v>Slovenia</c:v>
                </c:pt>
              </c:strCache>
            </c:strRef>
          </c:cat>
          <c:val>
            <c:numRef>
              <c:f>Sheet1!$H$10:$H$17</c:f>
            </c:numRef>
          </c:val>
        </c:ser>
        <c:ser>
          <c:idx val="6"/>
          <c:order val="6"/>
          <c:tx>
            <c:strRef>
              <c:f>Sheet1!$I$1:$I$9</c:f>
              <c:strCache>
                <c:ptCount val="1"/>
                <c:pt idx="0">
                  <c:v>Total Disagree strongly</c:v>
                </c:pt>
              </c:strCache>
            </c:strRef>
          </c:tx>
          <c:invertIfNegative val="0"/>
          <c:cat>
            <c:strRef>
              <c:f>Sheet1!$B$10:$B$17</c:f>
              <c:strCache>
                <c:ptCount val="8"/>
                <c:pt idx="0">
                  <c:v>Germany</c:v>
                </c:pt>
                <c:pt idx="1">
                  <c:v>Denmark</c:v>
                </c:pt>
                <c:pt idx="2">
                  <c:v>France</c:v>
                </c:pt>
                <c:pt idx="3">
                  <c:v>United Kingdom</c:v>
                </c:pt>
                <c:pt idx="4">
                  <c:v>Greece</c:v>
                </c:pt>
                <c:pt idx="5">
                  <c:v>Norway</c:v>
                </c:pt>
                <c:pt idx="6">
                  <c:v>Sweden</c:v>
                </c:pt>
                <c:pt idx="7">
                  <c:v>Slovenia</c:v>
                </c:pt>
              </c:strCache>
            </c:strRef>
          </c:cat>
          <c:val>
            <c:numRef>
              <c:f>Sheet1!$I$10:$I$17</c:f>
            </c:numRef>
          </c:val>
        </c:ser>
        <c:ser>
          <c:idx val="7"/>
          <c:order val="7"/>
          <c:tx>
            <c:strRef>
              <c:f>Sheet1!$J$1:$J$9</c:f>
              <c:strCache>
                <c:ptCount val="1"/>
                <c:pt idx="0">
                  <c:v>Total % Agree</c:v>
                </c:pt>
              </c:strCache>
            </c:strRef>
          </c:tx>
          <c:spPr>
            <a:solidFill>
              <a:schemeClr val="accent1"/>
            </a:solidFill>
          </c:spPr>
          <c:invertIfNegative val="0"/>
          <c:cat>
            <c:strRef>
              <c:f>Sheet1!$B$10:$B$17</c:f>
              <c:strCache>
                <c:ptCount val="8"/>
                <c:pt idx="0">
                  <c:v>Germany</c:v>
                </c:pt>
                <c:pt idx="1">
                  <c:v>Denmark</c:v>
                </c:pt>
                <c:pt idx="2">
                  <c:v>France</c:v>
                </c:pt>
                <c:pt idx="3">
                  <c:v>United Kingdom</c:v>
                </c:pt>
                <c:pt idx="4">
                  <c:v>Greece</c:v>
                </c:pt>
                <c:pt idx="5">
                  <c:v>Norway</c:v>
                </c:pt>
                <c:pt idx="6">
                  <c:v>Sweden</c:v>
                </c:pt>
                <c:pt idx="7">
                  <c:v>Slovenia</c:v>
                </c:pt>
              </c:strCache>
            </c:strRef>
          </c:cat>
          <c:val>
            <c:numRef>
              <c:f>Sheet1!$J$10:$J$17</c:f>
              <c:numCache>
                <c:formatCode>###0.0%</c:formatCode>
                <c:ptCount val="8"/>
                <c:pt idx="0">
                  <c:v>0.57027225901398093</c:v>
                </c:pt>
                <c:pt idx="1">
                  <c:v>0.31675062972292201</c:v>
                </c:pt>
                <c:pt idx="2">
                  <c:v>0.6029126213592233</c:v>
                </c:pt>
                <c:pt idx="3">
                  <c:v>0.51336206896551706</c:v>
                </c:pt>
                <c:pt idx="4">
                  <c:v>0.89707317073170711</c:v>
                </c:pt>
                <c:pt idx="5">
                  <c:v>0.5603112840466925</c:v>
                </c:pt>
                <c:pt idx="6">
                  <c:v>0.5667034178610808</c:v>
                </c:pt>
                <c:pt idx="7">
                  <c:v>0.6233974358974359</c:v>
                </c:pt>
              </c:numCache>
            </c:numRef>
          </c:val>
        </c:ser>
        <c:ser>
          <c:idx val="8"/>
          <c:order val="8"/>
          <c:tx>
            <c:strRef>
              <c:f>Sheet1!$K$1:$K$9</c:f>
              <c:strCache>
                <c:ptCount val="1"/>
                <c:pt idx="0">
                  <c:v>Total % Disagree</c:v>
                </c:pt>
              </c:strCache>
            </c:strRef>
          </c:tx>
          <c:spPr>
            <a:solidFill>
              <a:schemeClr val="accent2"/>
            </a:solidFill>
          </c:spPr>
          <c:invertIfNegative val="0"/>
          <c:cat>
            <c:strRef>
              <c:f>Sheet1!$B$10:$B$17</c:f>
              <c:strCache>
                <c:ptCount val="8"/>
                <c:pt idx="0">
                  <c:v>Germany</c:v>
                </c:pt>
                <c:pt idx="1">
                  <c:v>Denmark</c:v>
                </c:pt>
                <c:pt idx="2">
                  <c:v>France</c:v>
                </c:pt>
                <c:pt idx="3">
                  <c:v>United Kingdom</c:v>
                </c:pt>
                <c:pt idx="4">
                  <c:v>Greece</c:v>
                </c:pt>
                <c:pt idx="5">
                  <c:v>Norway</c:v>
                </c:pt>
                <c:pt idx="6">
                  <c:v>Sweden</c:v>
                </c:pt>
                <c:pt idx="7">
                  <c:v>Slovenia</c:v>
                </c:pt>
              </c:strCache>
            </c:strRef>
          </c:cat>
          <c:val>
            <c:numRef>
              <c:f>Sheet1!$K$10:$K$17</c:f>
              <c:numCache>
                <c:formatCode>###0.0%</c:formatCode>
                <c:ptCount val="8"/>
                <c:pt idx="0">
                  <c:v>0.18395879323031644</c:v>
                </c:pt>
                <c:pt idx="1">
                  <c:v>0.4527707808564233</c:v>
                </c:pt>
                <c:pt idx="2">
                  <c:v>0.22912621359223306</c:v>
                </c:pt>
                <c:pt idx="3">
                  <c:v>0.27155172413793105</c:v>
                </c:pt>
                <c:pt idx="4">
                  <c:v>2.3414634146341456E-2</c:v>
                </c:pt>
                <c:pt idx="5">
                  <c:v>0.21660181582360569</c:v>
                </c:pt>
                <c:pt idx="6">
                  <c:v>0.18853362734288864</c:v>
                </c:pt>
                <c:pt idx="7">
                  <c:v>0.16105769230769237</c:v>
                </c:pt>
              </c:numCache>
            </c:numRef>
          </c:val>
        </c:ser>
        <c:ser>
          <c:idx val="9"/>
          <c:order val="9"/>
          <c:tx>
            <c:strRef>
              <c:f>Sheet1!$L$1:$L$9</c:f>
              <c:strCache>
                <c:ptCount val="1"/>
                <c:pt idx="0">
                  <c:v>Total % neither agree nor disagree</c:v>
                </c:pt>
              </c:strCache>
            </c:strRef>
          </c:tx>
          <c:spPr>
            <a:solidFill>
              <a:schemeClr val="bg1">
                <a:lumMod val="85000"/>
              </a:schemeClr>
            </a:solidFill>
            <a:ln>
              <a:solidFill>
                <a:schemeClr val="bg1">
                  <a:lumMod val="85000"/>
                </a:schemeClr>
              </a:solidFill>
            </a:ln>
          </c:spPr>
          <c:invertIfNegative val="0"/>
          <c:cat>
            <c:strRef>
              <c:f>Sheet1!$B$10:$B$17</c:f>
              <c:strCache>
                <c:ptCount val="8"/>
                <c:pt idx="0">
                  <c:v>Germany</c:v>
                </c:pt>
                <c:pt idx="1">
                  <c:v>Denmark</c:v>
                </c:pt>
                <c:pt idx="2">
                  <c:v>France</c:v>
                </c:pt>
                <c:pt idx="3">
                  <c:v>United Kingdom</c:v>
                </c:pt>
                <c:pt idx="4">
                  <c:v>Greece</c:v>
                </c:pt>
                <c:pt idx="5">
                  <c:v>Norway</c:v>
                </c:pt>
                <c:pt idx="6">
                  <c:v>Sweden</c:v>
                </c:pt>
                <c:pt idx="7">
                  <c:v>Slovenia</c:v>
                </c:pt>
              </c:strCache>
            </c:strRef>
          </c:cat>
          <c:val>
            <c:numRef>
              <c:f>Sheet1!$L$10:$L$17</c:f>
              <c:numCache>
                <c:formatCode>###0.0%</c:formatCode>
                <c:ptCount val="8"/>
                <c:pt idx="0">
                  <c:v>0.24576894775570282</c:v>
                </c:pt>
                <c:pt idx="1">
                  <c:v>0.23047858942065488</c:v>
                </c:pt>
                <c:pt idx="2">
                  <c:v>0.16796116504854366</c:v>
                </c:pt>
                <c:pt idx="3">
                  <c:v>0.21508620689655175</c:v>
                </c:pt>
                <c:pt idx="4">
                  <c:v>7.9512195121951248E-2</c:v>
                </c:pt>
                <c:pt idx="5">
                  <c:v>0.2230869001297017</c:v>
                </c:pt>
                <c:pt idx="6">
                  <c:v>0.24476295479603097</c:v>
                </c:pt>
                <c:pt idx="7">
                  <c:v>0.21554487179487183</c:v>
                </c:pt>
              </c:numCache>
            </c:numRef>
          </c:val>
        </c:ser>
        <c:dLbls>
          <c:showLegendKey val="0"/>
          <c:showVal val="0"/>
          <c:showCatName val="0"/>
          <c:showSerName val="0"/>
          <c:showPercent val="0"/>
          <c:showBubbleSize val="0"/>
        </c:dLbls>
        <c:gapWidth val="150"/>
        <c:axId val="312952160"/>
        <c:axId val="312955296"/>
      </c:barChart>
      <c:catAx>
        <c:axId val="312952160"/>
        <c:scaling>
          <c:orientation val="minMax"/>
        </c:scaling>
        <c:delete val="0"/>
        <c:axPos val="b"/>
        <c:numFmt formatCode="General" sourceLinked="0"/>
        <c:majorTickMark val="out"/>
        <c:minorTickMark val="none"/>
        <c:tickLblPos val="nextTo"/>
        <c:crossAx val="312955296"/>
        <c:crosses val="autoZero"/>
        <c:auto val="1"/>
        <c:lblAlgn val="ctr"/>
        <c:lblOffset val="100"/>
        <c:noMultiLvlLbl val="0"/>
      </c:catAx>
      <c:valAx>
        <c:axId val="312955296"/>
        <c:scaling>
          <c:orientation val="minMax"/>
        </c:scaling>
        <c:delete val="0"/>
        <c:axPos val="l"/>
        <c:majorGridlines/>
        <c:numFmt formatCode="###0.0%" sourceLinked="1"/>
        <c:majorTickMark val="out"/>
        <c:minorTickMark val="none"/>
        <c:tickLblPos val="nextTo"/>
        <c:crossAx val="312952160"/>
        <c:crosses val="autoZero"/>
        <c:crossBetween val="between"/>
      </c:valAx>
    </c:plotArea>
    <c:legend>
      <c:legendPos val="r"/>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Sheet1!$B$5:$B$6</c:f>
              <c:strCache>
                <c:ptCount val="1"/>
                <c:pt idx="0">
                  <c:v>Pay same share of earnings in tax</c:v>
                </c:pt>
              </c:strCache>
            </c:strRef>
          </c:tx>
          <c:invertIfNegative val="0"/>
          <c:cat>
            <c:strRef>
              <c:f>Sheet1!$A$7:$A$14</c:f>
              <c:strCache>
                <c:ptCount val="8"/>
                <c:pt idx="0">
                  <c:v>Germany</c:v>
                </c:pt>
                <c:pt idx="1">
                  <c:v>Denmark</c:v>
                </c:pt>
                <c:pt idx="2">
                  <c:v>France</c:v>
                </c:pt>
                <c:pt idx="3">
                  <c:v>United Kingdom</c:v>
                </c:pt>
                <c:pt idx="4">
                  <c:v>Greece</c:v>
                </c:pt>
                <c:pt idx="5">
                  <c:v>Norway</c:v>
                </c:pt>
                <c:pt idx="6">
                  <c:v>Sweden</c:v>
                </c:pt>
                <c:pt idx="7">
                  <c:v>Slovenia</c:v>
                </c:pt>
              </c:strCache>
            </c:strRef>
          </c:cat>
          <c:val>
            <c:numRef>
              <c:f>Sheet1!$B$7:$B$14</c:f>
              <c:numCache>
                <c:formatCode>###0.0%</c:formatCode>
                <c:ptCount val="8"/>
                <c:pt idx="0">
                  <c:v>0.44924326319675162</c:v>
                </c:pt>
                <c:pt idx="1">
                  <c:v>0.37810311903246346</c:v>
                </c:pt>
                <c:pt idx="2">
                  <c:v>0.52091439688715946</c:v>
                </c:pt>
                <c:pt idx="3">
                  <c:v>0.40566448801742933</c:v>
                </c:pt>
                <c:pt idx="4">
                  <c:v>0.47055912914398812</c:v>
                </c:pt>
                <c:pt idx="5">
                  <c:v>0.45814406229720972</c:v>
                </c:pt>
                <c:pt idx="6">
                  <c:v>0.45965498052309406</c:v>
                </c:pt>
                <c:pt idx="7">
                  <c:v>0.36913285600636425</c:v>
                </c:pt>
              </c:numCache>
            </c:numRef>
          </c:val>
        </c:ser>
        <c:ser>
          <c:idx val="1"/>
          <c:order val="1"/>
          <c:tx>
            <c:strRef>
              <c:f>Sheet1!$C$5:$C$6</c:f>
              <c:strCache>
                <c:ptCount val="1"/>
                <c:pt idx="0">
                  <c:v>Higher earner pay higher share of earnings in tax</c:v>
                </c:pt>
              </c:strCache>
            </c:strRef>
          </c:tx>
          <c:invertIfNegative val="0"/>
          <c:cat>
            <c:strRef>
              <c:f>Sheet1!$A$7:$A$14</c:f>
              <c:strCache>
                <c:ptCount val="8"/>
                <c:pt idx="0">
                  <c:v>Germany</c:v>
                </c:pt>
                <c:pt idx="1">
                  <c:v>Denmark</c:v>
                </c:pt>
                <c:pt idx="2">
                  <c:v>France</c:v>
                </c:pt>
                <c:pt idx="3">
                  <c:v>United Kingdom</c:v>
                </c:pt>
                <c:pt idx="4">
                  <c:v>Greece</c:v>
                </c:pt>
                <c:pt idx="5">
                  <c:v>Norway</c:v>
                </c:pt>
                <c:pt idx="6">
                  <c:v>Sweden</c:v>
                </c:pt>
                <c:pt idx="7">
                  <c:v>Slovenia</c:v>
                </c:pt>
              </c:strCache>
            </c:strRef>
          </c:cat>
          <c:val>
            <c:numRef>
              <c:f>Sheet1!$C$7:$C$14</c:f>
              <c:numCache>
                <c:formatCode>###0.0%</c:formatCode>
                <c:ptCount val="8"/>
                <c:pt idx="0">
                  <c:v>0.4728682170542638</c:v>
                </c:pt>
                <c:pt idx="1">
                  <c:v>0.48949713558243152</c:v>
                </c:pt>
                <c:pt idx="2">
                  <c:v>0.41147859922178998</c:v>
                </c:pt>
                <c:pt idx="3">
                  <c:v>0.46361655773420496</c:v>
                </c:pt>
                <c:pt idx="4">
                  <c:v>0.49134092033646731</c:v>
                </c:pt>
                <c:pt idx="5">
                  <c:v>0.48215444516547712</c:v>
                </c:pt>
                <c:pt idx="6">
                  <c:v>0.43850862548692271</c:v>
                </c:pt>
                <c:pt idx="7">
                  <c:v>0.56961018297533816</c:v>
                </c:pt>
              </c:numCache>
            </c:numRef>
          </c:val>
        </c:ser>
        <c:ser>
          <c:idx val="2"/>
          <c:order val="2"/>
          <c:tx>
            <c:strRef>
              <c:f>Sheet1!$D$5:$D$6</c:f>
              <c:strCache>
                <c:ptCount val="1"/>
                <c:pt idx="0">
                  <c:v>Pay same amount of money in tax</c:v>
                </c:pt>
              </c:strCache>
            </c:strRef>
          </c:tx>
          <c:invertIfNegative val="0"/>
          <c:cat>
            <c:strRef>
              <c:f>Sheet1!$A$7:$A$14</c:f>
              <c:strCache>
                <c:ptCount val="8"/>
                <c:pt idx="0">
                  <c:v>Germany</c:v>
                </c:pt>
                <c:pt idx="1">
                  <c:v>Denmark</c:v>
                </c:pt>
                <c:pt idx="2">
                  <c:v>France</c:v>
                </c:pt>
                <c:pt idx="3">
                  <c:v>United Kingdom</c:v>
                </c:pt>
                <c:pt idx="4">
                  <c:v>Greece</c:v>
                </c:pt>
                <c:pt idx="5">
                  <c:v>Norway</c:v>
                </c:pt>
                <c:pt idx="6">
                  <c:v>Sweden</c:v>
                </c:pt>
                <c:pt idx="7">
                  <c:v>Slovenia</c:v>
                </c:pt>
              </c:strCache>
            </c:strRef>
          </c:cat>
          <c:val>
            <c:numRef>
              <c:f>Sheet1!$D$7:$D$14</c:f>
              <c:numCache>
                <c:formatCode>###0.0%</c:formatCode>
                <c:ptCount val="8"/>
                <c:pt idx="0">
                  <c:v>5.9431524547803649E-2</c:v>
                </c:pt>
                <c:pt idx="1">
                  <c:v>9.5480585614258429E-2</c:v>
                </c:pt>
                <c:pt idx="2">
                  <c:v>5.2529182879377412E-2</c:v>
                </c:pt>
                <c:pt idx="3">
                  <c:v>0.11677559912854032</c:v>
                </c:pt>
                <c:pt idx="4">
                  <c:v>2.6719445818901542E-2</c:v>
                </c:pt>
                <c:pt idx="5">
                  <c:v>4.9967553536664495E-2</c:v>
                </c:pt>
                <c:pt idx="6">
                  <c:v>8.1246521981079636E-2</c:v>
                </c:pt>
                <c:pt idx="7">
                  <c:v>5.1710421638822626E-2</c:v>
                </c:pt>
              </c:numCache>
            </c:numRef>
          </c:val>
        </c:ser>
        <c:ser>
          <c:idx val="3"/>
          <c:order val="3"/>
          <c:tx>
            <c:strRef>
              <c:f>Sheet1!$E$5:$E$6</c:f>
              <c:strCache>
                <c:ptCount val="1"/>
                <c:pt idx="0">
                  <c:v>None of these</c:v>
                </c:pt>
              </c:strCache>
            </c:strRef>
          </c:tx>
          <c:invertIfNegative val="0"/>
          <c:cat>
            <c:strRef>
              <c:f>Sheet1!$A$7:$A$14</c:f>
              <c:strCache>
                <c:ptCount val="8"/>
                <c:pt idx="0">
                  <c:v>Germany</c:v>
                </c:pt>
                <c:pt idx="1">
                  <c:v>Denmark</c:v>
                </c:pt>
                <c:pt idx="2">
                  <c:v>France</c:v>
                </c:pt>
                <c:pt idx="3">
                  <c:v>United Kingdom</c:v>
                </c:pt>
                <c:pt idx="4">
                  <c:v>Greece</c:v>
                </c:pt>
                <c:pt idx="5">
                  <c:v>Norway</c:v>
                </c:pt>
                <c:pt idx="6">
                  <c:v>Sweden</c:v>
                </c:pt>
                <c:pt idx="7">
                  <c:v>Slovenia</c:v>
                </c:pt>
              </c:strCache>
            </c:strRef>
          </c:cat>
          <c:val>
            <c:numRef>
              <c:f>Sheet1!$E$7:$E$14</c:f>
              <c:numCache>
                <c:formatCode>###0.0%</c:formatCode>
                <c:ptCount val="8"/>
                <c:pt idx="0">
                  <c:v>1.8456995201181249E-2</c:v>
                </c:pt>
                <c:pt idx="1">
                  <c:v>3.6919159770846595E-2</c:v>
                </c:pt>
                <c:pt idx="2">
                  <c:v>1.5077821011673157E-2</c:v>
                </c:pt>
                <c:pt idx="3">
                  <c:v>1.3943355119825716E-2</c:v>
                </c:pt>
                <c:pt idx="4">
                  <c:v>1.1380504700643253E-2</c:v>
                </c:pt>
                <c:pt idx="5" formatCode="####.0%">
                  <c:v>9.7339390006489345E-3</c:v>
                </c:pt>
                <c:pt idx="6">
                  <c:v>2.0589872008903748E-2</c:v>
                </c:pt>
                <c:pt idx="7" formatCode="####.0%">
                  <c:v>9.546539379474946E-3</c:v>
                </c:pt>
              </c:numCache>
            </c:numRef>
          </c:val>
        </c:ser>
        <c:dLbls>
          <c:showLegendKey val="0"/>
          <c:showVal val="0"/>
          <c:showCatName val="0"/>
          <c:showSerName val="0"/>
          <c:showPercent val="0"/>
          <c:showBubbleSize val="0"/>
        </c:dLbls>
        <c:gapWidth val="150"/>
        <c:axId val="312952552"/>
        <c:axId val="312956080"/>
      </c:barChart>
      <c:catAx>
        <c:axId val="312952552"/>
        <c:scaling>
          <c:orientation val="minMax"/>
        </c:scaling>
        <c:delete val="0"/>
        <c:axPos val="b"/>
        <c:numFmt formatCode="General" sourceLinked="0"/>
        <c:majorTickMark val="out"/>
        <c:minorTickMark val="none"/>
        <c:tickLblPos val="nextTo"/>
        <c:crossAx val="312956080"/>
        <c:crosses val="autoZero"/>
        <c:auto val="1"/>
        <c:lblAlgn val="ctr"/>
        <c:lblOffset val="100"/>
        <c:noMultiLvlLbl val="0"/>
      </c:catAx>
      <c:valAx>
        <c:axId val="312956080"/>
        <c:scaling>
          <c:orientation val="minMax"/>
        </c:scaling>
        <c:delete val="0"/>
        <c:axPos val="l"/>
        <c:majorGridlines/>
        <c:numFmt formatCode="###0.0%" sourceLinked="1"/>
        <c:majorTickMark val="out"/>
        <c:minorTickMark val="none"/>
        <c:tickLblPos val="nextTo"/>
        <c:crossAx val="312952552"/>
        <c:crosses val="autoZero"/>
        <c:crossBetween val="between"/>
      </c:valAx>
    </c:plotArea>
    <c:legend>
      <c:legendPos val="r"/>
      <c:overlay val="0"/>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c:f>
              <c:strCache>
                <c:ptCount val="1"/>
                <c:pt idx="0">
                  <c:v>2014 </c:v>
                </c:pt>
              </c:strCache>
            </c:strRef>
          </c:tx>
          <c:invertIfNegative val="0"/>
          <c:cat>
            <c:strRef>
              <c:f>Sheet1!$A$3:$A$13</c:f>
              <c:strCache>
                <c:ptCount val="11"/>
                <c:pt idx="0">
                  <c:v>EU 28</c:v>
                </c:pt>
                <c:pt idx="1">
                  <c:v>Denmark</c:v>
                </c:pt>
                <c:pt idx="2">
                  <c:v>Germany</c:v>
                </c:pt>
                <c:pt idx="3">
                  <c:v>Greece</c:v>
                </c:pt>
                <c:pt idx="4">
                  <c:v>Spain</c:v>
                </c:pt>
                <c:pt idx="5">
                  <c:v>France</c:v>
                </c:pt>
                <c:pt idx="6">
                  <c:v>Italy</c:v>
                </c:pt>
                <c:pt idx="7">
                  <c:v>Slovenia</c:v>
                </c:pt>
                <c:pt idx="8">
                  <c:v>Sweden</c:v>
                </c:pt>
                <c:pt idx="9">
                  <c:v>UK</c:v>
                </c:pt>
                <c:pt idx="10">
                  <c:v>Norway</c:v>
                </c:pt>
              </c:strCache>
            </c:strRef>
          </c:cat>
          <c:val>
            <c:numRef>
              <c:f>Sheet1!$B$3:$B$13</c:f>
              <c:numCache>
                <c:formatCode>General</c:formatCode>
                <c:ptCount val="11"/>
                <c:pt idx="0">
                  <c:v>11.5</c:v>
                </c:pt>
                <c:pt idx="1">
                  <c:v>7.3</c:v>
                </c:pt>
                <c:pt idx="2">
                  <c:v>9.2000000000000011</c:v>
                </c:pt>
                <c:pt idx="3">
                  <c:v>18.3</c:v>
                </c:pt>
                <c:pt idx="4">
                  <c:v>10.200000000000001</c:v>
                </c:pt>
                <c:pt idx="5">
                  <c:v>7.5</c:v>
                </c:pt>
                <c:pt idx="6">
                  <c:v>19.399999999999999</c:v>
                </c:pt>
                <c:pt idx="7">
                  <c:v>8</c:v>
                </c:pt>
                <c:pt idx="8">
                  <c:v>4.5999999999999996</c:v>
                </c:pt>
                <c:pt idx="9">
                  <c:v>11.3</c:v>
                </c:pt>
                <c:pt idx="10">
                  <c:v>4.8</c:v>
                </c:pt>
              </c:numCache>
            </c:numRef>
          </c:val>
        </c:ser>
        <c:dLbls>
          <c:showLegendKey val="0"/>
          <c:showVal val="0"/>
          <c:showCatName val="0"/>
          <c:showSerName val="0"/>
          <c:showPercent val="0"/>
          <c:showBubbleSize val="0"/>
        </c:dLbls>
        <c:gapWidth val="150"/>
        <c:axId val="312956472"/>
        <c:axId val="312956864"/>
      </c:barChart>
      <c:catAx>
        <c:axId val="312956472"/>
        <c:scaling>
          <c:orientation val="minMax"/>
        </c:scaling>
        <c:delete val="0"/>
        <c:axPos val="b"/>
        <c:numFmt formatCode="General" sourceLinked="0"/>
        <c:majorTickMark val="out"/>
        <c:minorTickMark val="none"/>
        <c:tickLblPos val="nextTo"/>
        <c:crossAx val="312956864"/>
        <c:crosses val="autoZero"/>
        <c:auto val="1"/>
        <c:lblAlgn val="ctr"/>
        <c:lblOffset val="100"/>
        <c:noMultiLvlLbl val="0"/>
      </c:catAx>
      <c:valAx>
        <c:axId val="312956864"/>
        <c:scaling>
          <c:orientation val="minMax"/>
        </c:scaling>
        <c:delete val="0"/>
        <c:axPos val="l"/>
        <c:majorGridlines/>
        <c:numFmt formatCode="General" sourceLinked="1"/>
        <c:majorTickMark val="out"/>
        <c:minorTickMark val="none"/>
        <c:tickLblPos val="nextTo"/>
        <c:crossAx val="312956472"/>
        <c:crosses val="autoZero"/>
        <c:crossBetween val="between"/>
      </c:valAx>
    </c:plotArea>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Sheet1!$A$12</c:f>
              <c:strCache>
                <c:ptCount val="1"/>
                <c:pt idx="0">
                  <c:v>Germany</c:v>
                </c:pt>
              </c:strCache>
            </c:strRef>
          </c:tx>
          <c:cat>
            <c:numRef>
              <c:f>Sheet1!$B$11:$E$11</c:f>
              <c:numCache>
                <c:formatCode>General</c:formatCode>
                <c:ptCount val="4"/>
                <c:pt idx="0">
                  <c:v>1988</c:v>
                </c:pt>
                <c:pt idx="1">
                  <c:v>1994</c:v>
                </c:pt>
                <c:pt idx="2">
                  <c:v>2002</c:v>
                </c:pt>
                <c:pt idx="3">
                  <c:v>2012</c:v>
                </c:pt>
              </c:numCache>
            </c:numRef>
          </c:cat>
          <c:val>
            <c:numRef>
              <c:f>Sheet1!$B$12:$E$12</c:f>
              <c:numCache>
                <c:formatCode>0.00%</c:formatCode>
                <c:ptCount val="4"/>
                <c:pt idx="0">
                  <c:v>0.70100000000000018</c:v>
                </c:pt>
                <c:pt idx="1">
                  <c:v>0.83800000000000019</c:v>
                </c:pt>
                <c:pt idx="2">
                  <c:v>0.87500000000000022</c:v>
                </c:pt>
                <c:pt idx="3">
                  <c:v>0.87200000000000022</c:v>
                </c:pt>
              </c:numCache>
            </c:numRef>
          </c:val>
          <c:smooth val="0"/>
        </c:ser>
        <c:ser>
          <c:idx val="1"/>
          <c:order val="1"/>
          <c:tx>
            <c:strRef>
              <c:f>Sheet1!$A$13</c:f>
              <c:strCache>
                <c:ptCount val="1"/>
                <c:pt idx="0">
                  <c:v>United Kingdom</c:v>
                </c:pt>
              </c:strCache>
            </c:strRef>
          </c:tx>
          <c:cat>
            <c:numRef>
              <c:f>Sheet1!$B$11:$E$11</c:f>
              <c:numCache>
                <c:formatCode>General</c:formatCode>
                <c:ptCount val="4"/>
                <c:pt idx="0">
                  <c:v>1988</c:v>
                </c:pt>
                <c:pt idx="1">
                  <c:v>1994</c:v>
                </c:pt>
                <c:pt idx="2">
                  <c:v>2002</c:v>
                </c:pt>
                <c:pt idx="3">
                  <c:v>2012</c:v>
                </c:pt>
              </c:numCache>
            </c:numRef>
          </c:cat>
          <c:val>
            <c:numRef>
              <c:f>Sheet1!$B$13:$E$13</c:f>
              <c:numCache>
                <c:formatCode>0.00%</c:formatCode>
                <c:ptCount val="4"/>
                <c:pt idx="0">
                  <c:v>0.58899999999999997</c:v>
                </c:pt>
                <c:pt idx="1">
                  <c:v>0.63800000000000023</c:v>
                </c:pt>
                <c:pt idx="2">
                  <c:v>0.65300000000000025</c:v>
                </c:pt>
                <c:pt idx="3">
                  <c:v>0.76600000000000013</c:v>
                </c:pt>
              </c:numCache>
            </c:numRef>
          </c:val>
          <c:smooth val="0"/>
        </c:ser>
        <c:ser>
          <c:idx val="2"/>
          <c:order val="2"/>
          <c:tx>
            <c:strRef>
              <c:f>Sheet1!$A$14</c:f>
              <c:strCache>
                <c:ptCount val="1"/>
                <c:pt idx="0">
                  <c:v>Norway</c:v>
                </c:pt>
              </c:strCache>
            </c:strRef>
          </c:tx>
          <c:cat>
            <c:numRef>
              <c:f>Sheet1!$B$11:$E$11</c:f>
              <c:numCache>
                <c:formatCode>General</c:formatCode>
                <c:ptCount val="4"/>
                <c:pt idx="0">
                  <c:v>1988</c:v>
                </c:pt>
                <c:pt idx="1">
                  <c:v>1994</c:v>
                </c:pt>
                <c:pt idx="2">
                  <c:v>2002</c:v>
                </c:pt>
                <c:pt idx="3">
                  <c:v>2012</c:v>
                </c:pt>
              </c:numCache>
            </c:numRef>
          </c:cat>
          <c:val>
            <c:numRef>
              <c:f>Sheet1!$B$14:$E$14</c:f>
              <c:numCache>
                <c:formatCode>0.00%</c:formatCode>
                <c:ptCount val="4"/>
                <c:pt idx="1">
                  <c:v>0.55100000000000005</c:v>
                </c:pt>
                <c:pt idx="2">
                  <c:v>0.62400000000000022</c:v>
                </c:pt>
                <c:pt idx="3">
                  <c:v>0.73300000000000021</c:v>
                </c:pt>
              </c:numCache>
            </c:numRef>
          </c:val>
          <c:smooth val="0"/>
        </c:ser>
        <c:ser>
          <c:idx val="3"/>
          <c:order val="3"/>
          <c:tx>
            <c:strRef>
              <c:f>Sheet1!$A$15</c:f>
              <c:strCache>
                <c:ptCount val="1"/>
                <c:pt idx="0">
                  <c:v>Slovenia</c:v>
                </c:pt>
              </c:strCache>
            </c:strRef>
          </c:tx>
          <c:cat>
            <c:numRef>
              <c:f>Sheet1!$B$11:$E$11</c:f>
              <c:numCache>
                <c:formatCode>General</c:formatCode>
                <c:ptCount val="4"/>
                <c:pt idx="0">
                  <c:v>1988</c:v>
                </c:pt>
                <c:pt idx="1">
                  <c:v>1994</c:v>
                </c:pt>
                <c:pt idx="2">
                  <c:v>2002</c:v>
                </c:pt>
                <c:pt idx="3">
                  <c:v>2012</c:v>
                </c:pt>
              </c:numCache>
            </c:numRef>
          </c:cat>
          <c:val>
            <c:numRef>
              <c:f>Sheet1!$B$15:$E$15</c:f>
              <c:numCache>
                <c:formatCode>0%</c:formatCode>
                <c:ptCount val="4"/>
                <c:pt idx="1">
                  <c:v>0.61000000000000021</c:v>
                </c:pt>
                <c:pt idx="2" formatCode="0.00%">
                  <c:v>0.70700000000000018</c:v>
                </c:pt>
                <c:pt idx="3" formatCode="0.00%">
                  <c:v>0.85800000000000021</c:v>
                </c:pt>
              </c:numCache>
            </c:numRef>
          </c:val>
          <c:smooth val="0"/>
        </c:ser>
        <c:ser>
          <c:idx val="4"/>
          <c:order val="4"/>
          <c:tx>
            <c:strRef>
              <c:f>Sheet1!$A$16</c:f>
              <c:strCache>
                <c:ptCount val="1"/>
                <c:pt idx="0">
                  <c:v>Denmark</c:v>
                </c:pt>
              </c:strCache>
            </c:strRef>
          </c:tx>
          <c:cat>
            <c:numRef>
              <c:f>Sheet1!$B$11:$E$11</c:f>
              <c:numCache>
                <c:formatCode>General</c:formatCode>
                <c:ptCount val="4"/>
                <c:pt idx="0">
                  <c:v>1988</c:v>
                </c:pt>
                <c:pt idx="1">
                  <c:v>1994</c:v>
                </c:pt>
                <c:pt idx="2">
                  <c:v>2002</c:v>
                </c:pt>
                <c:pt idx="3">
                  <c:v>2012</c:v>
                </c:pt>
              </c:numCache>
            </c:numRef>
          </c:cat>
          <c:val>
            <c:numRef>
              <c:f>Sheet1!$B$16:$E$16</c:f>
              <c:numCache>
                <c:formatCode>General</c:formatCode>
                <c:ptCount val="4"/>
                <c:pt idx="2" formatCode="0.00%">
                  <c:v>0.80800000000000005</c:v>
                </c:pt>
                <c:pt idx="3" formatCode="0.00%">
                  <c:v>0.87600000000000011</c:v>
                </c:pt>
              </c:numCache>
            </c:numRef>
          </c:val>
          <c:smooth val="0"/>
        </c:ser>
        <c:dLbls>
          <c:showLegendKey val="0"/>
          <c:showVal val="0"/>
          <c:showCatName val="0"/>
          <c:showSerName val="0"/>
          <c:showPercent val="0"/>
          <c:showBubbleSize val="0"/>
        </c:dLbls>
        <c:marker val="1"/>
        <c:smooth val="0"/>
        <c:axId val="312957256"/>
        <c:axId val="567420224"/>
      </c:lineChart>
      <c:catAx>
        <c:axId val="312957256"/>
        <c:scaling>
          <c:orientation val="minMax"/>
        </c:scaling>
        <c:delete val="0"/>
        <c:axPos val="b"/>
        <c:numFmt formatCode="General" sourceLinked="1"/>
        <c:majorTickMark val="out"/>
        <c:minorTickMark val="none"/>
        <c:tickLblPos val="nextTo"/>
        <c:crossAx val="567420224"/>
        <c:crosses val="autoZero"/>
        <c:auto val="1"/>
        <c:lblAlgn val="ctr"/>
        <c:lblOffset val="100"/>
        <c:noMultiLvlLbl val="0"/>
      </c:catAx>
      <c:valAx>
        <c:axId val="567420224"/>
        <c:scaling>
          <c:orientation val="minMax"/>
        </c:scaling>
        <c:delete val="0"/>
        <c:axPos val="l"/>
        <c:majorGridlines/>
        <c:numFmt formatCode="0.00%" sourceLinked="1"/>
        <c:majorTickMark val="out"/>
        <c:minorTickMark val="none"/>
        <c:tickLblPos val="nextTo"/>
        <c:crossAx val="312957256"/>
        <c:crosses val="autoZero"/>
        <c:crossBetween val="between"/>
      </c:valAx>
    </c:plotArea>
    <c:legend>
      <c:legendPos val="r"/>
      <c:overlay val="0"/>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Sheet1!$A$12</c:f>
              <c:strCache>
                <c:ptCount val="1"/>
                <c:pt idx="0">
                  <c:v>Germany</c:v>
                </c:pt>
              </c:strCache>
            </c:strRef>
          </c:tx>
          <c:cat>
            <c:numRef>
              <c:f>Sheet1!$F$11:$I$11</c:f>
              <c:numCache>
                <c:formatCode>General</c:formatCode>
                <c:ptCount val="4"/>
                <c:pt idx="0">
                  <c:v>1988</c:v>
                </c:pt>
                <c:pt idx="1">
                  <c:v>1994</c:v>
                </c:pt>
                <c:pt idx="2">
                  <c:v>2002</c:v>
                </c:pt>
                <c:pt idx="3">
                  <c:v>2012</c:v>
                </c:pt>
              </c:numCache>
            </c:numRef>
          </c:cat>
          <c:val>
            <c:numRef>
              <c:f>Sheet1!$F$12:$I$12</c:f>
              <c:numCache>
                <c:formatCode>0.00%</c:formatCode>
                <c:ptCount val="4"/>
                <c:pt idx="0">
                  <c:v>0.26100000000000001</c:v>
                </c:pt>
                <c:pt idx="1">
                  <c:v>0.39600000000000013</c:v>
                </c:pt>
                <c:pt idx="2">
                  <c:v>0.48900000000000016</c:v>
                </c:pt>
                <c:pt idx="3">
                  <c:v>0.55600000000000005</c:v>
                </c:pt>
              </c:numCache>
            </c:numRef>
          </c:val>
          <c:smooth val="0"/>
        </c:ser>
        <c:ser>
          <c:idx val="1"/>
          <c:order val="1"/>
          <c:tx>
            <c:strRef>
              <c:f>Sheet1!$A$13</c:f>
              <c:strCache>
                <c:ptCount val="1"/>
                <c:pt idx="0">
                  <c:v>United Kingdom</c:v>
                </c:pt>
              </c:strCache>
            </c:strRef>
          </c:tx>
          <c:cat>
            <c:numRef>
              <c:f>Sheet1!$F$11:$I$11</c:f>
              <c:numCache>
                <c:formatCode>General</c:formatCode>
                <c:ptCount val="4"/>
                <c:pt idx="0">
                  <c:v>1988</c:v>
                </c:pt>
                <c:pt idx="1">
                  <c:v>1994</c:v>
                </c:pt>
                <c:pt idx="2">
                  <c:v>2002</c:v>
                </c:pt>
                <c:pt idx="3">
                  <c:v>2012</c:v>
                </c:pt>
              </c:numCache>
            </c:numRef>
          </c:cat>
          <c:val>
            <c:numRef>
              <c:f>Sheet1!$F$13:$I$13</c:f>
              <c:numCache>
                <c:formatCode>0.00%</c:formatCode>
                <c:ptCount val="4"/>
                <c:pt idx="0">
                  <c:v>0.41100000000000009</c:v>
                </c:pt>
                <c:pt idx="1">
                  <c:v>0.48500000000000015</c:v>
                </c:pt>
                <c:pt idx="2">
                  <c:v>0.43700000000000011</c:v>
                </c:pt>
                <c:pt idx="3">
                  <c:v>0.46800000000000008</c:v>
                </c:pt>
              </c:numCache>
            </c:numRef>
          </c:val>
          <c:smooth val="0"/>
        </c:ser>
        <c:ser>
          <c:idx val="2"/>
          <c:order val="2"/>
          <c:tx>
            <c:strRef>
              <c:f>Sheet1!$A$14</c:f>
              <c:strCache>
                <c:ptCount val="1"/>
                <c:pt idx="0">
                  <c:v>Norway</c:v>
                </c:pt>
              </c:strCache>
            </c:strRef>
          </c:tx>
          <c:cat>
            <c:numRef>
              <c:f>Sheet1!$F$11:$I$11</c:f>
              <c:numCache>
                <c:formatCode>General</c:formatCode>
                <c:ptCount val="4"/>
                <c:pt idx="0">
                  <c:v>1988</c:v>
                </c:pt>
                <c:pt idx="1">
                  <c:v>1994</c:v>
                </c:pt>
                <c:pt idx="2">
                  <c:v>2002</c:v>
                </c:pt>
                <c:pt idx="3">
                  <c:v>2012</c:v>
                </c:pt>
              </c:numCache>
            </c:numRef>
          </c:cat>
          <c:val>
            <c:numRef>
              <c:f>Sheet1!$F$14:$I$14</c:f>
              <c:numCache>
                <c:formatCode>0.00%</c:formatCode>
                <c:ptCount val="4"/>
                <c:pt idx="1">
                  <c:v>0.42400000000000015</c:v>
                </c:pt>
                <c:pt idx="2">
                  <c:v>0.50800000000000001</c:v>
                </c:pt>
                <c:pt idx="3">
                  <c:v>0.6010000000000002</c:v>
                </c:pt>
              </c:numCache>
            </c:numRef>
          </c:val>
          <c:smooth val="0"/>
        </c:ser>
        <c:ser>
          <c:idx val="3"/>
          <c:order val="3"/>
          <c:tx>
            <c:strRef>
              <c:f>Sheet1!$A$15</c:f>
              <c:strCache>
                <c:ptCount val="1"/>
                <c:pt idx="0">
                  <c:v>Slovenia</c:v>
                </c:pt>
              </c:strCache>
            </c:strRef>
          </c:tx>
          <c:cat>
            <c:numRef>
              <c:f>Sheet1!$F$11:$I$11</c:f>
              <c:numCache>
                <c:formatCode>General</c:formatCode>
                <c:ptCount val="4"/>
                <c:pt idx="0">
                  <c:v>1988</c:v>
                </c:pt>
                <c:pt idx="1">
                  <c:v>1994</c:v>
                </c:pt>
                <c:pt idx="2">
                  <c:v>2002</c:v>
                </c:pt>
                <c:pt idx="3">
                  <c:v>2012</c:v>
                </c:pt>
              </c:numCache>
            </c:numRef>
          </c:cat>
          <c:val>
            <c:numRef>
              <c:f>Sheet1!$F$15:$I$15</c:f>
              <c:numCache>
                <c:formatCode>0.00%</c:formatCode>
                <c:ptCount val="4"/>
                <c:pt idx="1">
                  <c:v>0.20400000000000001</c:v>
                </c:pt>
                <c:pt idx="2">
                  <c:v>0.28800000000000014</c:v>
                </c:pt>
                <c:pt idx="3">
                  <c:v>0.39100000000000013</c:v>
                </c:pt>
              </c:numCache>
            </c:numRef>
          </c:val>
          <c:smooth val="0"/>
        </c:ser>
        <c:ser>
          <c:idx val="4"/>
          <c:order val="4"/>
          <c:tx>
            <c:strRef>
              <c:f>Sheet1!$A$16</c:f>
              <c:strCache>
                <c:ptCount val="1"/>
                <c:pt idx="0">
                  <c:v>Denmark</c:v>
                </c:pt>
              </c:strCache>
            </c:strRef>
          </c:tx>
          <c:cat>
            <c:numRef>
              <c:f>Sheet1!$F$11:$I$11</c:f>
              <c:numCache>
                <c:formatCode>General</c:formatCode>
                <c:ptCount val="4"/>
                <c:pt idx="0">
                  <c:v>1988</c:v>
                </c:pt>
                <c:pt idx="1">
                  <c:v>1994</c:v>
                </c:pt>
                <c:pt idx="2">
                  <c:v>2002</c:v>
                </c:pt>
                <c:pt idx="3">
                  <c:v>2012</c:v>
                </c:pt>
              </c:numCache>
            </c:numRef>
          </c:cat>
          <c:val>
            <c:numRef>
              <c:f>Sheet1!$F$16:$I$16</c:f>
              <c:numCache>
                <c:formatCode>General</c:formatCode>
                <c:ptCount val="4"/>
                <c:pt idx="2" formatCode="0.00%">
                  <c:v>0.62800000000000022</c:v>
                </c:pt>
                <c:pt idx="3" formatCode="0.00%">
                  <c:v>0.73300000000000021</c:v>
                </c:pt>
              </c:numCache>
            </c:numRef>
          </c:val>
          <c:smooth val="0"/>
        </c:ser>
        <c:dLbls>
          <c:showLegendKey val="0"/>
          <c:showVal val="0"/>
          <c:showCatName val="0"/>
          <c:showSerName val="0"/>
          <c:showPercent val="0"/>
          <c:showBubbleSize val="0"/>
        </c:dLbls>
        <c:marker val="1"/>
        <c:smooth val="0"/>
        <c:axId val="567409248"/>
        <c:axId val="567419048"/>
      </c:lineChart>
      <c:catAx>
        <c:axId val="567409248"/>
        <c:scaling>
          <c:orientation val="minMax"/>
        </c:scaling>
        <c:delete val="0"/>
        <c:axPos val="b"/>
        <c:numFmt formatCode="General" sourceLinked="1"/>
        <c:majorTickMark val="out"/>
        <c:minorTickMark val="none"/>
        <c:tickLblPos val="nextTo"/>
        <c:crossAx val="567419048"/>
        <c:crosses val="autoZero"/>
        <c:auto val="1"/>
        <c:lblAlgn val="ctr"/>
        <c:lblOffset val="100"/>
        <c:noMultiLvlLbl val="0"/>
      </c:catAx>
      <c:valAx>
        <c:axId val="567419048"/>
        <c:scaling>
          <c:orientation val="minMax"/>
        </c:scaling>
        <c:delete val="0"/>
        <c:axPos val="l"/>
        <c:majorGridlines/>
        <c:numFmt formatCode="0.00%" sourceLinked="1"/>
        <c:majorTickMark val="out"/>
        <c:minorTickMark val="none"/>
        <c:tickLblPos val="nextTo"/>
        <c:crossAx val="567409248"/>
        <c:crosses val="autoZero"/>
        <c:crossBetween val="between"/>
      </c:valAx>
    </c:plotArea>
    <c:legend>
      <c:legendPos val="r"/>
      <c:overlay val="0"/>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Sheet1!$A$12</c:f>
              <c:strCache>
                <c:ptCount val="1"/>
                <c:pt idx="0">
                  <c:v>Germany</c:v>
                </c:pt>
              </c:strCache>
            </c:strRef>
          </c:tx>
          <c:cat>
            <c:numRef>
              <c:f>Sheet1!$J$11:$M$11</c:f>
              <c:numCache>
                <c:formatCode>General</c:formatCode>
                <c:ptCount val="4"/>
                <c:pt idx="0">
                  <c:v>1988</c:v>
                </c:pt>
                <c:pt idx="1">
                  <c:v>1994</c:v>
                </c:pt>
                <c:pt idx="2">
                  <c:v>2002</c:v>
                </c:pt>
                <c:pt idx="3">
                  <c:v>2012</c:v>
                </c:pt>
              </c:numCache>
            </c:numRef>
          </c:cat>
          <c:val>
            <c:numRef>
              <c:f>Sheet1!$J$12:$M$12</c:f>
              <c:numCache>
                <c:formatCode>0.00%</c:formatCode>
                <c:ptCount val="4"/>
                <c:pt idx="0">
                  <c:v>0.504</c:v>
                </c:pt>
                <c:pt idx="1">
                  <c:v>0.80300000000000005</c:v>
                </c:pt>
                <c:pt idx="2">
                  <c:v>0.78599999999999992</c:v>
                </c:pt>
                <c:pt idx="3">
                  <c:v>0.79900000000000004</c:v>
                </c:pt>
              </c:numCache>
            </c:numRef>
          </c:val>
          <c:smooth val="0"/>
        </c:ser>
        <c:ser>
          <c:idx val="1"/>
          <c:order val="1"/>
          <c:tx>
            <c:strRef>
              <c:f>Sheet1!$A$13</c:f>
              <c:strCache>
                <c:ptCount val="1"/>
                <c:pt idx="0">
                  <c:v>United Kingdom</c:v>
                </c:pt>
              </c:strCache>
            </c:strRef>
          </c:tx>
          <c:cat>
            <c:numRef>
              <c:f>Sheet1!$J$11:$M$11</c:f>
              <c:numCache>
                <c:formatCode>General</c:formatCode>
                <c:ptCount val="4"/>
                <c:pt idx="0">
                  <c:v>1988</c:v>
                </c:pt>
                <c:pt idx="1">
                  <c:v>1994</c:v>
                </c:pt>
                <c:pt idx="2">
                  <c:v>2002</c:v>
                </c:pt>
                <c:pt idx="3">
                  <c:v>2012</c:v>
                </c:pt>
              </c:numCache>
            </c:numRef>
          </c:cat>
          <c:val>
            <c:numRef>
              <c:f>Sheet1!$J$13:$M$13</c:f>
              <c:numCache>
                <c:formatCode>0.00%</c:formatCode>
                <c:ptCount val="4"/>
                <c:pt idx="0">
                  <c:v>0.54</c:v>
                </c:pt>
                <c:pt idx="1">
                  <c:v>0.62300000000000022</c:v>
                </c:pt>
                <c:pt idx="2">
                  <c:v>0.60900000000000021</c:v>
                </c:pt>
                <c:pt idx="3">
                  <c:v>0.62900000000000023</c:v>
                </c:pt>
              </c:numCache>
            </c:numRef>
          </c:val>
          <c:smooth val="0"/>
        </c:ser>
        <c:ser>
          <c:idx val="2"/>
          <c:order val="2"/>
          <c:tx>
            <c:strRef>
              <c:f>Sheet1!$A$14</c:f>
              <c:strCache>
                <c:ptCount val="1"/>
                <c:pt idx="0">
                  <c:v>Norway</c:v>
                </c:pt>
              </c:strCache>
            </c:strRef>
          </c:tx>
          <c:cat>
            <c:numRef>
              <c:f>Sheet1!$J$11:$M$11</c:f>
              <c:numCache>
                <c:formatCode>General</c:formatCode>
                <c:ptCount val="4"/>
                <c:pt idx="0">
                  <c:v>1988</c:v>
                </c:pt>
                <c:pt idx="1">
                  <c:v>1994</c:v>
                </c:pt>
                <c:pt idx="2">
                  <c:v>2002</c:v>
                </c:pt>
                <c:pt idx="3">
                  <c:v>2012</c:v>
                </c:pt>
              </c:numCache>
            </c:numRef>
          </c:cat>
          <c:val>
            <c:numRef>
              <c:f>Sheet1!$J$14:$M$14</c:f>
              <c:numCache>
                <c:formatCode>0.00%</c:formatCode>
                <c:ptCount val="4"/>
                <c:pt idx="1">
                  <c:v>0.6040000000000002</c:v>
                </c:pt>
                <c:pt idx="2">
                  <c:v>0.7230000000000002</c:v>
                </c:pt>
                <c:pt idx="3">
                  <c:v>0.84400000000000031</c:v>
                </c:pt>
              </c:numCache>
            </c:numRef>
          </c:val>
          <c:smooth val="0"/>
        </c:ser>
        <c:ser>
          <c:idx val="3"/>
          <c:order val="3"/>
          <c:tx>
            <c:strRef>
              <c:f>Sheet1!$A$15</c:f>
              <c:strCache>
                <c:ptCount val="1"/>
                <c:pt idx="0">
                  <c:v>Slovenia</c:v>
                </c:pt>
              </c:strCache>
            </c:strRef>
          </c:tx>
          <c:cat>
            <c:numRef>
              <c:f>Sheet1!$J$11:$M$11</c:f>
              <c:numCache>
                <c:formatCode>General</c:formatCode>
                <c:ptCount val="4"/>
                <c:pt idx="0">
                  <c:v>1988</c:v>
                </c:pt>
                <c:pt idx="1">
                  <c:v>1994</c:v>
                </c:pt>
                <c:pt idx="2">
                  <c:v>2002</c:v>
                </c:pt>
                <c:pt idx="3">
                  <c:v>2012</c:v>
                </c:pt>
              </c:numCache>
            </c:numRef>
          </c:cat>
          <c:val>
            <c:numRef>
              <c:f>Sheet1!$J$15:$M$15</c:f>
              <c:numCache>
                <c:formatCode>0.00%</c:formatCode>
                <c:ptCount val="4"/>
                <c:pt idx="1">
                  <c:v>0.92700000000000005</c:v>
                </c:pt>
                <c:pt idx="2">
                  <c:v>0.90100000000000002</c:v>
                </c:pt>
                <c:pt idx="3">
                  <c:v>0.91900000000000004</c:v>
                </c:pt>
              </c:numCache>
            </c:numRef>
          </c:val>
          <c:smooth val="0"/>
        </c:ser>
        <c:ser>
          <c:idx val="4"/>
          <c:order val="4"/>
          <c:tx>
            <c:strRef>
              <c:f>Sheet1!$A$16</c:f>
              <c:strCache>
                <c:ptCount val="1"/>
                <c:pt idx="0">
                  <c:v>Denmark</c:v>
                </c:pt>
              </c:strCache>
            </c:strRef>
          </c:tx>
          <c:cat>
            <c:numRef>
              <c:f>Sheet1!$J$11:$M$11</c:f>
              <c:numCache>
                <c:formatCode>General</c:formatCode>
                <c:ptCount val="4"/>
                <c:pt idx="0">
                  <c:v>1988</c:v>
                </c:pt>
                <c:pt idx="1">
                  <c:v>1994</c:v>
                </c:pt>
                <c:pt idx="2">
                  <c:v>2002</c:v>
                </c:pt>
                <c:pt idx="3">
                  <c:v>2012</c:v>
                </c:pt>
              </c:numCache>
            </c:numRef>
          </c:cat>
          <c:val>
            <c:numRef>
              <c:f>Sheet1!$J$16:$M$16</c:f>
              <c:numCache>
                <c:formatCode>General</c:formatCode>
                <c:ptCount val="4"/>
                <c:pt idx="2" formatCode="0.00%">
                  <c:v>0.77200000000000024</c:v>
                </c:pt>
                <c:pt idx="3" formatCode="0.00%">
                  <c:v>0.80100000000000005</c:v>
                </c:pt>
              </c:numCache>
            </c:numRef>
          </c:val>
          <c:smooth val="0"/>
        </c:ser>
        <c:dLbls>
          <c:showLegendKey val="0"/>
          <c:showVal val="0"/>
          <c:showCatName val="0"/>
          <c:showSerName val="0"/>
          <c:showPercent val="0"/>
          <c:showBubbleSize val="0"/>
        </c:dLbls>
        <c:marker val="1"/>
        <c:smooth val="0"/>
        <c:axId val="567413952"/>
        <c:axId val="567408856"/>
      </c:lineChart>
      <c:catAx>
        <c:axId val="567413952"/>
        <c:scaling>
          <c:orientation val="minMax"/>
        </c:scaling>
        <c:delete val="0"/>
        <c:axPos val="b"/>
        <c:numFmt formatCode="General" sourceLinked="1"/>
        <c:majorTickMark val="out"/>
        <c:minorTickMark val="none"/>
        <c:tickLblPos val="nextTo"/>
        <c:crossAx val="567408856"/>
        <c:crosses val="autoZero"/>
        <c:auto val="1"/>
        <c:lblAlgn val="ctr"/>
        <c:lblOffset val="100"/>
        <c:noMultiLvlLbl val="0"/>
      </c:catAx>
      <c:valAx>
        <c:axId val="567408856"/>
        <c:scaling>
          <c:orientation val="minMax"/>
        </c:scaling>
        <c:delete val="0"/>
        <c:axPos val="l"/>
        <c:majorGridlines/>
        <c:numFmt formatCode="0.00%" sourceLinked="1"/>
        <c:majorTickMark val="out"/>
        <c:minorTickMark val="none"/>
        <c:tickLblPos val="nextTo"/>
        <c:crossAx val="567413952"/>
        <c:crosses val="autoZero"/>
        <c:crossBetween val="between"/>
      </c:valAx>
    </c:plotArea>
    <c:legend>
      <c:legendPos val="r"/>
      <c:overlay val="0"/>
    </c:legend>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Sheet1!$A$12</c:f>
              <c:strCache>
                <c:ptCount val="1"/>
                <c:pt idx="0">
                  <c:v>Germany</c:v>
                </c:pt>
              </c:strCache>
            </c:strRef>
          </c:tx>
          <c:cat>
            <c:numRef>
              <c:f>Sheet1!$N$11:$Q$11</c:f>
              <c:numCache>
                <c:formatCode>General</c:formatCode>
                <c:ptCount val="4"/>
                <c:pt idx="0">
                  <c:v>1988</c:v>
                </c:pt>
                <c:pt idx="1">
                  <c:v>1994</c:v>
                </c:pt>
                <c:pt idx="2">
                  <c:v>2002</c:v>
                </c:pt>
                <c:pt idx="3">
                  <c:v>2012</c:v>
                </c:pt>
              </c:numCache>
            </c:numRef>
          </c:cat>
          <c:val>
            <c:numRef>
              <c:f>Sheet1!$N$12:$Q$12</c:f>
              <c:numCache>
                <c:formatCode>0.00%</c:formatCode>
                <c:ptCount val="4"/>
                <c:pt idx="0">
                  <c:v>0.35900000000000015</c:v>
                </c:pt>
                <c:pt idx="1">
                  <c:v>0.63100000000000023</c:v>
                </c:pt>
                <c:pt idx="2">
                  <c:v>0.67900000000000038</c:v>
                </c:pt>
                <c:pt idx="3">
                  <c:v>0.7200000000000002</c:v>
                </c:pt>
              </c:numCache>
            </c:numRef>
          </c:val>
          <c:smooth val="0"/>
        </c:ser>
        <c:ser>
          <c:idx val="1"/>
          <c:order val="1"/>
          <c:tx>
            <c:strRef>
              <c:f>Sheet1!$A$13</c:f>
              <c:strCache>
                <c:ptCount val="1"/>
                <c:pt idx="0">
                  <c:v>United Kingdom</c:v>
                </c:pt>
              </c:strCache>
            </c:strRef>
          </c:tx>
          <c:cat>
            <c:numRef>
              <c:f>Sheet1!$N$11:$Q$11</c:f>
              <c:numCache>
                <c:formatCode>General</c:formatCode>
                <c:ptCount val="4"/>
                <c:pt idx="0">
                  <c:v>1988</c:v>
                </c:pt>
                <c:pt idx="1">
                  <c:v>1994</c:v>
                </c:pt>
                <c:pt idx="2">
                  <c:v>2002</c:v>
                </c:pt>
                <c:pt idx="3">
                  <c:v>2012</c:v>
                </c:pt>
              </c:numCache>
            </c:numRef>
          </c:cat>
          <c:val>
            <c:numRef>
              <c:f>Sheet1!$N$13:$Q$13</c:f>
              <c:numCache>
                <c:formatCode>0.00%</c:formatCode>
                <c:ptCount val="4"/>
                <c:pt idx="0">
                  <c:v>0.52500000000000002</c:v>
                </c:pt>
                <c:pt idx="1">
                  <c:v>0.56999999999999995</c:v>
                </c:pt>
                <c:pt idx="2">
                  <c:v>0.61900000000000022</c:v>
                </c:pt>
                <c:pt idx="3">
                  <c:v>0.63400000000000023</c:v>
                </c:pt>
              </c:numCache>
            </c:numRef>
          </c:val>
          <c:smooth val="0"/>
        </c:ser>
        <c:ser>
          <c:idx val="2"/>
          <c:order val="2"/>
          <c:tx>
            <c:strRef>
              <c:f>Sheet1!$A$14</c:f>
              <c:strCache>
                <c:ptCount val="1"/>
                <c:pt idx="0">
                  <c:v>Norway</c:v>
                </c:pt>
              </c:strCache>
            </c:strRef>
          </c:tx>
          <c:cat>
            <c:numRef>
              <c:f>Sheet1!$N$11:$Q$11</c:f>
              <c:numCache>
                <c:formatCode>General</c:formatCode>
                <c:ptCount val="4"/>
                <c:pt idx="0">
                  <c:v>1988</c:v>
                </c:pt>
                <c:pt idx="1">
                  <c:v>1994</c:v>
                </c:pt>
                <c:pt idx="2">
                  <c:v>2002</c:v>
                </c:pt>
                <c:pt idx="3">
                  <c:v>2012</c:v>
                </c:pt>
              </c:numCache>
            </c:numRef>
          </c:cat>
          <c:val>
            <c:numRef>
              <c:f>Sheet1!$N$14:$Q$14</c:f>
              <c:numCache>
                <c:formatCode>0.00%</c:formatCode>
                <c:ptCount val="4"/>
                <c:pt idx="1">
                  <c:v>0.69699999999999995</c:v>
                </c:pt>
                <c:pt idx="2">
                  <c:v>0.77300000000000024</c:v>
                </c:pt>
                <c:pt idx="3">
                  <c:v>0.8340000000000003</c:v>
                </c:pt>
              </c:numCache>
            </c:numRef>
          </c:val>
          <c:smooth val="0"/>
        </c:ser>
        <c:ser>
          <c:idx val="3"/>
          <c:order val="3"/>
          <c:tx>
            <c:strRef>
              <c:f>Sheet1!$A$15</c:f>
              <c:strCache>
                <c:ptCount val="1"/>
                <c:pt idx="0">
                  <c:v>Slovenia</c:v>
                </c:pt>
              </c:strCache>
            </c:strRef>
          </c:tx>
          <c:cat>
            <c:numRef>
              <c:f>Sheet1!$N$11:$Q$11</c:f>
              <c:numCache>
                <c:formatCode>General</c:formatCode>
                <c:ptCount val="4"/>
                <c:pt idx="0">
                  <c:v>1988</c:v>
                </c:pt>
                <c:pt idx="1">
                  <c:v>1994</c:v>
                </c:pt>
                <c:pt idx="2">
                  <c:v>2002</c:v>
                </c:pt>
                <c:pt idx="3">
                  <c:v>2012</c:v>
                </c:pt>
              </c:numCache>
            </c:numRef>
          </c:cat>
          <c:val>
            <c:numRef>
              <c:f>Sheet1!$N$15:$Q$15</c:f>
              <c:numCache>
                <c:formatCode>0.00%</c:formatCode>
                <c:ptCount val="4"/>
                <c:pt idx="1">
                  <c:v>0.43100000000000016</c:v>
                </c:pt>
                <c:pt idx="2">
                  <c:v>0.54100000000000004</c:v>
                </c:pt>
                <c:pt idx="3">
                  <c:v>0.60700000000000021</c:v>
                </c:pt>
              </c:numCache>
            </c:numRef>
          </c:val>
          <c:smooth val="0"/>
        </c:ser>
        <c:ser>
          <c:idx val="4"/>
          <c:order val="4"/>
          <c:tx>
            <c:strRef>
              <c:f>Sheet1!$A$16</c:f>
              <c:strCache>
                <c:ptCount val="1"/>
                <c:pt idx="0">
                  <c:v>Denmark</c:v>
                </c:pt>
              </c:strCache>
            </c:strRef>
          </c:tx>
          <c:cat>
            <c:numRef>
              <c:f>Sheet1!$N$11:$Q$11</c:f>
              <c:numCache>
                <c:formatCode>General</c:formatCode>
                <c:ptCount val="4"/>
                <c:pt idx="0">
                  <c:v>1988</c:v>
                </c:pt>
                <c:pt idx="1">
                  <c:v>1994</c:v>
                </c:pt>
                <c:pt idx="2">
                  <c:v>2002</c:v>
                </c:pt>
                <c:pt idx="3">
                  <c:v>2012</c:v>
                </c:pt>
              </c:numCache>
            </c:numRef>
          </c:cat>
          <c:val>
            <c:numRef>
              <c:f>Sheet1!$N$16:$Q$16</c:f>
              <c:numCache>
                <c:formatCode>General</c:formatCode>
                <c:ptCount val="4"/>
                <c:pt idx="2" formatCode="0.00%">
                  <c:v>0.76800000000000024</c:v>
                </c:pt>
                <c:pt idx="3" formatCode="0.00%">
                  <c:v>0.84300000000000019</c:v>
                </c:pt>
              </c:numCache>
            </c:numRef>
          </c:val>
          <c:smooth val="0"/>
        </c:ser>
        <c:dLbls>
          <c:showLegendKey val="0"/>
          <c:showVal val="0"/>
          <c:showCatName val="0"/>
          <c:showSerName val="0"/>
          <c:showPercent val="0"/>
          <c:showBubbleSize val="0"/>
        </c:dLbls>
        <c:marker val="1"/>
        <c:smooth val="0"/>
        <c:axId val="567417872"/>
        <c:axId val="567409640"/>
      </c:lineChart>
      <c:catAx>
        <c:axId val="567417872"/>
        <c:scaling>
          <c:orientation val="minMax"/>
        </c:scaling>
        <c:delete val="0"/>
        <c:axPos val="b"/>
        <c:numFmt formatCode="General" sourceLinked="1"/>
        <c:majorTickMark val="out"/>
        <c:minorTickMark val="none"/>
        <c:tickLblPos val="nextTo"/>
        <c:crossAx val="567409640"/>
        <c:crosses val="autoZero"/>
        <c:auto val="1"/>
        <c:lblAlgn val="ctr"/>
        <c:lblOffset val="100"/>
        <c:noMultiLvlLbl val="0"/>
      </c:catAx>
      <c:valAx>
        <c:axId val="567409640"/>
        <c:scaling>
          <c:orientation val="minMax"/>
        </c:scaling>
        <c:delete val="0"/>
        <c:axPos val="l"/>
        <c:majorGridlines/>
        <c:numFmt formatCode="0.00%" sourceLinked="1"/>
        <c:majorTickMark val="out"/>
        <c:minorTickMark val="none"/>
        <c:tickLblPos val="nextTo"/>
        <c:crossAx val="56741787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Sheet1!$M$4</c:f>
              <c:strCache>
                <c:ptCount val="1"/>
                <c:pt idx="0">
                  <c:v>Total</c:v>
                </c:pt>
              </c:strCache>
            </c:strRef>
          </c:tx>
          <c:invertIfNegative val="0"/>
          <c:cat>
            <c:strRef>
              <c:f>Sheet1!$A$6:$L$13</c:f>
              <c:strCache>
                <c:ptCount val="8"/>
                <c:pt idx="0">
                  <c:v>Germany</c:v>
                </c:pt>
                <c:pt idx="1">
                  <c:v>Denmark</c:v>
                </c:pt>
                <c:pt idx="2">
                  <c:v>France</c:v>
                </c:pt>
                <c:pt idx="3">
                  <c:v>United Kingdom</c:v>
                </c:pt>
                <c:pt idx="4">
                  <c:v>Greece</c:v>
                </c:pt>
                <c:pt idx="5">
                  <c:v>Norway</c:v>
                </c:pt>
                <c:pt idx="6">
                  <c:v>Sweden</c:v>
                </c:pt>
                <c:pt idx="7">
                  <c:v>Slovenia</c:v>
                </c:pt>
              </c:strCache>
            </c:strRef>
          </c:cat>
          <c:val>
            <c:numRef>
              <c:f>Sheet1!$M$5:$M$13</c:f>
            </c:numRef>
          </c:val>
        </c:ser>
        <c:ser>
          <c:idx val="1"/>
          <c:order val="1"/>
          <c:tx>
            <c:strRef>
              <c:f>Sheet1!$N$4</c:f>
              <c:strCache>
                <c:ptCount val="1"/>
              </c:strCache>
            </c:strRef>
          </c:tx>
          <c:invertIfNegative val="0"/>
          <c:cat>
            <c:strRef>
              <c:f>Sheet1!$A$6:$L$13</c:f>
              <c:strCache>
                <c:ptCount val="8"/>
                <c:pt idx="0">
                  <c:v>Germany</c:v>
                </c:pt>
                <c:pt idx="1">
                  <c:v>Denmark</c:v>
                </c:pt>
                <c:pt idx="2">
                  <c:v>France</c:v>
                </c:pt>
                <c:pt idx="3">
                  <c:v>United Kingdom</c:v>
                </c:pt>
                <c:pt idx="4">
                  <c:v>Greece</c:v>
                </c:pt>
                <c:pt idx="5">
                  <c:v>Norway</c:v>
                </c:pt>
                <c:pt idx="6">
                  <c:v>Sweden</c:v>
                </c:pt>
                <c:pt idx="7">
                  <c:v>Slovenia</c:v>
                </c:pt>
              </c:strCache>
            </c:strRef>
          </c:cat>
          <c:val>
            <c:numRef>
              <c:f>Sheet1!$N$5:$N$13</c:f>
            </c:numRef>
          </c:val>
        </c:ser>
        <c:ser>
          <c:idx val="2"/>
          <c:order val="2"/>
          <c:tx>
            <c:v>No Responsibility</c:v>
          </c:tx>
          <c:spPr>
            <a:solidFill>
              <a:schemeClr val="accent2"/>
            </a:solidFill>
          </c:spPr>
          <c:invertIfNegative val="0"/>
          <c:cat>
            <c:strRef>
              <c:f>Sheet1!$A$6:$L$13</c:f>
              <c:strCache>
                <c:ptCount val="8"/>
                <c:pt idx="0">
                  <c:v>Germany</c:v>
                </c:pt>
                <c:pt idx="1">
                  <c:v>Denmark</c:v>
                </c:pt>
                <c:pt idx="2">
                  <c:v>France</c:v>
                </c:pt>
                <c:pt idx="3">
                  <c:v>United Kingdom</c:v>
                </c:pt>
                <c:pt idx="4">
                  <c:v>Greece</c:v>
                </c:pt>
                <c:pt idx="5">
                  <c:v>Norway</c:v>
                </c:pt>
                <c:pt idx="6">
                  <c:v>Sweden</c:v>
                </c:pt>
                <c:pt idx="7">
                  <c:v>Slovenia</c:v>
                </c:pt>
              </c:strCache>
            </c:strRef>
          </c:cat>
          <c:val>
            <c:numRef>
              <c:f>Sheet1!$O$6:$O$13</c:f>
              <c:numCache>
                <c:formatCode>###0.0%</c:formatCode>
                <c:ptCount val="8"/>
                <c:pt idx="0">
                  <c:v>8.9298892988929984E-2</c:v>
                </c:pt>
                <c:pt idx="1">
                  <c:v>3.5465484483850541E-2</c:v>
                </c:pt>
                <c:pt idx="2">
                  <c:v>8.3980582524271846E-2</c:v>
                </c:pt>
                <c:pt idx="3">
                  <c:v>8.0603448275862147E-2</c:v>
                </c:pt>
                <c:pt idx="4">
                  <c:v>6.3715953307392992E-2</c:v>
                </c:pt>
                <c:pt idx="5">
                  <c:v>2.664067576348279E-2</c:v>
                </c:pt>
                <c:pt idx="6">
                  <c:v>4.6162402669632917E-2</c:v>
                </c:pt>
                <c:pt idx="7">
                  <c:v>6.6246056782334375E-2</c:v>
                </c:pt>
              </c:numCache>
            </c:numRef>
          </c:val>
        </c:ser>
        <c:ser>
          <c:idx val="3"/>
          <c:order val="3"/>
          <c:tx>
            <c:v>Responsibility</c:v>
          </c:tx>
          <c:spPr>
            <a:solidFill>
              <a:schemeClr val="accent1"/>
            </a:solidFill>
          </c:spPr>
          <c:invertIfNegative val="0"/>
          <c:cat>
            <c:strRef>
              <c:f>Sheet1!$A$6:$L$13</c:f>
              <c:strCache>
                <c:ptCount val="8"/>
                <c:pt idx="0">
                  <c:v>Germany</c:v>
                </c:pt>
                <c:pt idx="1">
                  <c:v>Denmark</c:v>
                </c:pt>
                <c:pt idx="2">
                  <c:v>France</c:v>
                </c:pt>
                <c:pt idx="3">
                  <c:v>United Kingdom</c:v>
                </c:pt>
                <c:pt idx="4">
                  <c:v>Greece</c:v>
                </c:pt>
                <c:pt idx="5">
                  <c:v>Norway</c:v>
                </c:pt>
                <c:pt idx="6">
                  <c:v>Sweden</c:v>
                </c:pt>
                <c:pt idx="7">
                  <c:v>Slovenia</c:v>
                </c:pt>
              </c:strCache>
            </c:strRef>
          </c:cat>
          <c:val>
            <c:numRef>
              <c:f>Sheet1!$P$6:$P$13</c:f>
              <c:numCache>
                <c:formatCode>###0.0%</c:formatCode>
                <c:ptCount val="8"/>
                <c:pt idx="0">
                  <c:v>0.79409594095940961</c:v>
                </c:pt>
                <c:pt idx="1">
                  <c:v>0.91576947435085521</c:v>
                </c:pt>
                <c:pt idx="2">
                  <c:v>0.79320388349514581</c:v>
                </c:pt>
                <c:pt idx="3">
                  <c:v>0.78965517241379357</c:v>
                </c:pt>
                <c:pt idx="4">
                  <c:v>0.87354085603112874</c:v>
                </c:pt>
                <c:pt idx="5">
                  <c:v>0.91747888239116304</c:v>
                </c:pt>
                <c:pt idx="6">
                  <c:v>0.89154616240266937</c:v>
                </c:pt>
                <c:pt idx="7">
                  <c:v>0.85962145110410138</c:v>
                </c:pt>
              </c:numCache>
            </c:numRef>
          </c:val>
        </c:ser>
        <c:dLbls>
          <c:showLegendKey val="0"/>
          <c:showVal val="0"/>
          <c:showCatName val="0"/>
          <c:showSerName val="0"/>
          <c:showPercent val="0"/>
          <c:showBubbleSize val="0"/>
        </c:dLbls>
        <c:gapWidth val="150"/>
        <c:axId val="568448520"/>
        <c:axId val="568449696"/>
      </c:barChart>
      <c:catAx>
        <c:axId val="568448520"/>
        <c:scaling>
          <c:orientation val="minMax"/>
        </c:scaling>
        <c:delete val="0"/>
        <c:axPos val="b"/>
        <c:numFmt formatCode="General" sourceLinked="0"/>
        <c:majorTickMark val="out"/>
        <c:minorTickMark val="none"/>
        <c:tickLblPos val="nextTo"/>
        <c:crossAx val="568449696"/>
        <c:crosses val="autoZero"/>
        <c:auto val="1"/>
        <c:lblAlgn val="ctr"/>
        <c:lblOffset val="100"/>
        <c:noMultiLvlLbl val="0"/>
      </c:catAx>
      <c:valAx>
        <c:axId val="568449696"/>
        <c:scaling>
          <c:orientation val="minMax"/>
        </c:scaling>
        <c:delete val="0"/>
        <c:axPos val="l"/>
        <c:majorGridlines/>
        <c:numFmt formatCode="###0.0%" sourceLinked="1"/>
        <c:majorTickMark val="out"/>
        <c:minorTickMark val="none"/>
        <c:tickLblPos val="nextTo"/>
        <c:crossAx val="56844852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Sheet1!$M$7</c:f>
              <c:strCache>
                <c:ptCount val="1"/>
                <c:pt idx="0">
                  <c:v>Total</c:v>
                </c:pt>
              </c:strCache>
            </c:strRef>
          </c:tx>
          <c:invertIfNegative val="0"/>
          <c:cat>
            <c:strRef>
              <c:f>Sheet1!$A$9:$L$16</c:f>
              <c:strCache>
                <c:ptCount val="8"/>
                <c:pt idx="0">
                  <c:v>Germany</c:v>
                </c:pt>
                <c:pt idx="1">
                  <c:v>Denmark</c:v>
                </c:pt>
                <c:pt idx="2">
                  <c:v>France</c:v>
                </c:pt>
                <c:pt idx="3">
                  <c:v>United Kingdom</c:v>
                </c:pt>
                <c:pt idx="4">
                  <c:v>Greece</c:v>
                </c:pt>
                <c:pt idx="5">
                  <c:v>Norway</c:v>
                </c:pt>
                <c:pt idx="6">
                  <c:v>Sweden</c:v>
                </c:pt>
                <c:pt idx="7">
                  <c:v>Slovenia</c:v>
                </c:pt>
              </c:strCache>
            </c:strRef>
          </c:cat>
          <c:val>
            <c:numRef>
              <c:f>Sheet1!$M$8:$M$16</c:f>
            </c:numRef>
          </c:val>
        </c:ser>
        <c:ser>
          <c:idx val="1"/>
          <c:order val="1"/>
          <c:tx>
            <c:strRef>
              <c:f>Sheet1!$N$7</c:f>
              <c:strCache>
                <c:ptCount val="1"/>
              </c:strCache>
            </c:strRef>
          </c:tx>
          <c:invertIfNegative val="0"/>
          <c:cat>
            <c:strRef>
              <c:f>Sheet1!$A$9:$L$16</c:f>
              <c:strCache>
                <c:ptCount val="8"/>
                <c:pt idx="0">
                  <c:v>Germany</c:v>
                </c:pt>
                <c:pt idx="1">
                  <c:v>Denmark</c:v>
                </c:pt>
                <c:pt idx="2">
                  <c:v>France</c:v>
                </c:pt>
                <c:pt idx="3">
                  <c:v>United Kingdom</c:v>
                </c:pt>
                <c:pt idx="4">
                  <c:v>Greece</c:v>
                </c:pt>
                <c:pt idx="5">
                  <c:v>Norway</c:v>
                </c:pt>
                <c:pt idx="6">
                  <c:v>Sweden</c:v>
                </c:pt>
                <c:pt idx="7">
                  <c:v>Slovenia</c:v>
                </c:pt>
              </c:strCache>
            </c:strRef>
          </c:cat>
          <c:val>
            <c:numRef>
              <c:f>Sheet1!$N$8:$N$16</c:f>
            </c:numRef>
          </c:val>
        </c:ser>
        <c:ser>
          <c:idx val="2"/>
          <c:order val="2"/>
          <c:tx>
            <c:v>No responsibility</c:v>
          </c:tx>
          <c:spPr>
            <a:solidFill>
              <a:schemeClr val="accent2"/>
            </a:solidFill>
          </c:spPr>
          <c:invertIfNegative val="0"/>
          <c:cat>
            <c:strRef>
              <c:f>Sheet1!$A$9:$L$16</c:f>
              <c:strCache>
                <c:ptCount val="8"/>
                <c:pt idx="0">
                  <c:v>Germany</c:v>
                </c:pt>
                <c:pt idx="1">
                  <c:v>Denmark</c:v>
                </c:pt>
                <c:pt idx="2">
                  <c:v>France</c:v>
                </c:pt>
                <c:pt idx="3">
                  <c:v>United Kingdom</c:v>
                </c:pt>
                <c:pt idx="4">
                  <c:v>Greece</c:v>
                </c:pt>
                <c:pt idx="5">
                  <c:v>Norway</c:v>
                </c:pt>
                <c:pt idx="6">
                  <c:v>Sweden</c:v>
                </c:pt>
                <c:pt idx="7">
                  <c:v>Slovenia</c:v>
                </c:pt>
              </c:strCache>
            </c:strRef>
          </c:cat>
          <c:val>
            <c:numRef>
              <c:f>Sheet1!$O$9:$O$16</c:f>
              <c:numCache>
                <c:formatCode>####.0%</c:formatCode>
                <c:ptCount val="8"/>
                <c:pt idx="0">
                  <c:v>0.16630036630036638</c:v>
                </c:pt>
                <c:pt idx="1">
                  <c:v>0.10579345088161218</c:v>
                </c:pt>
                <c:pt idx="2">
                  <c:v>0.17744287797763739</c:v>
                </c:pt>
                <c:pt idx="3">
                  <c:v>0.2196061643835617</c:v>
                </c:pt>
                <c:pt idx="4">
                  <c:v>4.7434656340755096E-2</c:v>
                </c:pt>
                <c:pt idx="5">
                  <c:v>6.0233160621761664E-2</c:v>
                </c:pt>
                <c:pt idx="6">
                  <c:v>5.9214167127836226E-2</c:v>
                </c:pt>
                <c:pt idx="7">
                  <c:v>0.14039215686274517</c:v>
                </c:pt>
              </c:numCache>
            </c:numRef>
          </c:val>
        </c:ser>
        <c:ser>
          <c:idx val="3"/>
          <c:order val="3"/>
          <c:tx>
            <c:v>Responsibility</c:v>
          </c:tx>
          <c:spPr>
            <a:solidFill>
              <a:schemeClr val="accent1"/>
            </a:solidFill>
          </c:spPr>
          <c:invertIfNegative val="0"/>
          <c:cat>
            <c:strRef>
              <c:f>Sheet1!$A$9:$L$16</c:f>
              <c:strCache>
                <c:ptCount val="8"/>
                <c:pt idx="0">
                  <c:v>Germany</c:v>
                </c:pt>
                <c:pt idx="1">
                  <c:v>Denmark</c:v>
                </c:pt>
                <c:pt idx="2">
                  <c:v>France</c:v>
                </c:pt>
                <c:pt idx="3">
                  <c:v>United Kingdom</c:v>
                </c:pt>
                <c:pt idx="4">
                  <c:v>Greece</c:v>
                </c:pt>
                <c:pt idx="5">
                  <c:v>Norway</c:v>
                </c:pt>
                <c:pt idx="6">
                  <c:v>Sweden</c:v>
                </c:pt>
                <c:pt idx="7">
                  <c:v>Slovenia</c:v>
                </c:pt>
              </c:strCache>
            </c:strRef>
          </c:cat>
          <c:val>
            <c:numRef>
              <c:f>Sheet1!$P$9:$P$16</c:f>
              <c:numCache>
                <c:formatCode>###0.0%</c:formatCode>
                <c:ptCount val="8"/>
                <c:pt idx="0">
                  <c:v>0.62820512820512853</c:v>
                </c:pt>
                <c:pt idx="1">
                  <c:v>0.70277078085642308</c:v>
                </c:pt>
                <c:pt idx="2">
                  <c:v>0.5887214389888189</c:v>
                </c:pt>
                <c:pt idx="3">
                  <c:v>0.57320205479452069</c:v>
                </c:pt>
                <c:pt idx="4">
                  <c:v>0.90125847047434671</c:v>
                </c:pt>
                <c:pt idx="5">
                  <c:v>0.8218911917098447</c:v>
                </c:pt>
                <c:pt idx="6">
                  <c:v>0.83065855008301093</c:v>
                </c:pt>
                <c:pt idx="7">
                  <c:v>0.69176470588235239</c:v>
                </c:pt>
              </c:numCache>
            </c:numRef>
          </c:val>
        </c:ser>
        <c:dLbls>
          <c:showLegendKey val="0"/>
          <c:showVal val="0"/>
          <c:showCatName val="0"/>
          <c:showSerName val="0"/>
          <c:showPercent val="0"/>
          <c:showBubbleSize val="0"/>
        </c:dLbls>
        <c:gapWidth val="150"/>
        <c:axId val="568453224"/>
        <c:axId val="568453616"/>
      </c:barChart>
      <c:catAx>
        <c:axId val="568453224"/>
        <c:scaling>
          <c:orientation val="minMax"/>
        </c:scaling>
        <c:delete val="0"/>
        <c:axPos val="b"/>
        <c:numFmt formatCode="General" sourceLinked="0"/>
        <c:majorTickMark val="out"/>
        <c:minorTickMark val="none"/>
        <c:tickLblPos val="nextTo"/>
        <c:crossAx val="568453616"/>
        <c:crosses val="autoZero"/>
        <c:auto val="1"/>
        <c:lblAlgn val="ctr"/>
        <c:lblOffset val="100"/>
        <c:noMultiLvlLbl val="0"/>
      </c:catAx>
      <c:valAx>
        <c:axId val="568453616"/>
        <c:scaling>
          <c:orientation val="minMax"/>
        </c:scaling>
        <c:delete val="0"/>
        <c:axPos val="l"/>
        <c:majorGridlines/>
        <c:numFmt formatCode="####.0%" sourceLinked="1"/>
        <c:majorTickMark val="out"/>
        <c:minorTickMark val="none"/>
        <c:tickLblPos val="nextTo"/>
        <c:crossAx val="56845322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Sheet1!$C$6:$C$7</c:f>
              <c:strCache>
                <c:ptCount val="1"/>
                <c:pt idx="0">
                  <c:v>Not governments' responsibility at all</c:v>
                </c:pt>
              </c:strCache>
            </c:strRef>
          </c:tx>
          <c:invertIfNegative val="0"/>
          <c:cat>
            <c:strRef>
              <c:f>Sheet1!$B$8:$B$15</c:f>
              <c:strCache>
                <c:ptCount val="8"/>
                <c:pt idx="0">
                  <c:v>Germany</c:v>
                </c:pt>
                <c:pt idx="1">
                  <c:v>Denmark</c:v>
                </c:pt>
                <c:pt idx="2">
                  <c:v>France</c:v>
                </c:pt>
                <c:pt idx="3">
                  <c:v>United Kingdom</c:v>
                </c:pt>
                <c:pt idx="4">
                  <c:v>Greece</c:v>
                </c:pt>
                <c:pt idx="5">
                  <c:v>Norway</c:v>
                </c:pt>
                <c:pt idx="6">
                  <c:v>Sweden</c:v>
                </c:pt>
                <c:pt idx="7">
                  <c:v>Slovenia</c:v>
                </c:pt>
              </c:strCache>
            </c:strRef>
          </c:cat>
          <c:val>
            <c:numRef>
              <c:f>Sheet1!$C$8:$C$16</c:f>
            </c:numRef>
          </c:val>
        </c:ser>
        <c:ser>
          <c:idx val="2"/>
          <c:order val="1"/>
          <c:tx>
            <c:strRef>
              <c:f>Sheet1!$D$6:$D$7</c:f>
              <c:strCache>
                <c:ptCount val="1"/>
                <c:pt idx="0">
                  <c:v>01</c:v>
                </c:pt>
              </c:strCache>
            </c:strRef>
          </c:tx>
          <c:invertIfNegative val="0"/>
          <c:cat>
            <c:strRef>
              <c:f>Sheet1!$B$8:$B$15</c:f>
              <c:strCache>
                <c:ptCount val="8"/>
                <c:pt idx="0">
                  <c:v>Germany</c:v>
                </c:pt>
                <c:pt idx="1">
                  <c:v>Denmark</c:v>
                </c:pt>
                <c:pt idx="2">
                  <c:v>France</c:v>
                </c:pt>
                <c:pt idx="3">
                  <c:v>United Kingdom</c:v>
                </c:pt>
                <c:pt idx="4">
                  <c:v>Greece</c:v>
                </c:pt>
                <c:pt idx="5">
                  <c:v>Norway</c:v>
                </c:pt>
                <c:pt idx="6">
                  <c:v>Sweden</c:v>
                </c:pt>
                <c:pt idx="7">
                  <c:v>Slovenia</c:v>
                </c:pt>
              </c:strCache>
            </c:strRef>
          </c:cat>
          <c:val>
            <c:numRef>
              <c:f>Sheet1!$D$8:$D$16</c:f>
            </c:numRef>
          </c:val>
        </c:ser>
        <c:ser>
          <c:idx val="3"/>
          <c:order val="2"/>
          <c:tx>
            <c:strRef>
              <c:f>Sheet1!$E$6:$E$7</c:f>
              <c:strCache>
                <c:ptCount val="1"/>
                <c:pt idx="0">
                  <c:v>02</c:v>
                </c:pt>
              </c:strCache>
            </c:strRef>
          </c:tx>
          <c:invertIfNegative val="0"/>
          <c:cat>
            <c:strRef>
              <c:f>Sheet1!$B$8:$B$15</c:f>
              <c:strCache>
                <c:ptCount val="8"/>
                <c:pt idx="0">
                  <c:v>Germany</c:v>
                </c:pt>
                <c:pt idx="1">
                  <c:v>Denmark</c:v>
                </c:pt>
                <c:pt idx="2">
                  <c:v>France</c:v>
                </c:pt>
                <c:pt idx="3">
                  <c:v>United Kingdom</c:v>
                </c:pt>
                <c:pt idx="4">
                  <c:v>Greece</c:v>
                </c:pt>
                <c:pt idx="5">
                  <c:v>Norway</c:v>
                </c:pt>
                <c:pt idx="6">
                  <c:v>Sweden</c:v>
                </c:pt>
                <c:pt idx="7">
                  <c:v>Slovenia</c:v>
                </c:pt>
              </c:strCache>
            </c:strRef>
          </c:cat>
          <c:val>
            <c:numRef>
              <c:f>Sheet1!$E$8:$E$16</c:f>
            </c:numRef>
          </c:val>
        </c:ser>
        <c:ser>
          <c:idx val="4"/>
          <c:order val="3"/>
          <c:tx>
            <c:strRef>
              <c:f>Sheet1!$F$6:$F$7</c:f>
              <c:strCache>
                <c:ptCount val="1"/>
                <c:pt idx="0">
                  <c:v>03</c:v>
                </c:pt>
              </c:strCache>
            </c:strRef>
          </c:tx>
          <c:invertIfNegative val="0"/>
          <c:cat>
            <c:strRef>
              <c:f>Sheet1!$B$8:$B$15</c:f>
              <c:strCache>
                <c:ptCount val="8"/>
                <c:pt idx="0">
                  <c:v>Germany</c:v>
                </c:pt>
                <c:pt idx="1">
                  <c:v>Denmark</c:v>
                </c:pt>
                <c:pt idx="2">
                  <c:v>France</c:v>
                </c:pt>
                <c:pt idx="3">
                  <c:v>United Kingdom</c:v>
                </c:pt>
                <c:pt idx="4">
                  <c:v>Greece</c:v>
                </c:pt>
                <c:pt idx="5">
                  <c:v>Norway</c:v>
                </c:pt>
                <c:pt idx="6">
                  <c:v>Sweden</c:v>
                </c:pt>
                <c:pt idx="7">
                  <c:v>Slovenia</c:v>
                </c:pt>
              </c:strCache>
            </c:strRef>
          </c:cat>
          <c:val>
            <c:numRef>
              <c:f>Sheet1!$F$8:$F$16</c:f>
            </c:numRef>
          </c:val>
        </c:ser>
        <c:ser>
          <c:idx val="5"/>
          <c:order val="4"/>
          <c:tx>
            <c:strRef>
              <c:f>Sheet1!$G$6:$G$7</c:f>
              <c:strCache>
                <c:ptCount val="1"/>
                <c:pt idx="0">
                  <c:v>04</c:v>
                </c:pt>
              </c:strCache>
            </c:strRef>
          </c:tx>
          <c:invertIfNegative val="0"/>
          <c:cat>
            <c:strRef>
              <c:f>Sheet1!$B$8:$B$15</c:f>
              <c:strCache>
                <c:ptCount val="8"/>
                <c:pt idx="0">
                  <c:v>Germany</c:v>
                </c:pt>
                <c:pt idx="1">
                  <c:v>Denmark</c:v>
                </c:pt>
                <c:pt idx="2">
                  <c:v>France</c:v>
                </c:pt>
                <c:pt idx="3">
                  <c:v>United Kingdom</c:v>
                </c:pt>
                <c:pt idx="4">
                  <c:v>Greece</c:v>
                </c:pt>
                <c:pt idx="5">
                  <c:v>Norway</c:v>
                </c:pt>
                <c:pt idx="6">
                  <c:v>Sweden</c:v>
                </c:pt>
                <c:pt idx="7">
                  <c:v>Slovenia</c:v>
                </c:pt>
              </c:strCache>
            </c:strRef>
          </c:cat>
          <c:val>
            <c:numRef>
              <c:f>Sheet1!$G$8:$G$16</c:f>
            </c:numRef>
          </c:val>
        </c:ser>
        <c:ser>
          <c:idx val="6"/>
          <c:order val="5"/>
          <c:tx>
            <c:strRef>
              <c:f>Sheet1!$H$6:$H$7</c:f>
              <c:strCache>
                <c:ptCount val="1"/>
                <c:pt idx="0">
                  <c:v>05</c:v>
                </c:pt>
              </c:strCache>
            </c:strRef>
          </c:tx>
          <c:invertIfNegative val="0"/>
          <c:cat>
            <c:strRef>
              <c:f>Sheet1!$B$8:$B$15</c:f>
              <c:strCache>
                <c:ptCount val="8"/>
                <c:pt idx="0">
                  <c:v>Germany</c:v>
                </c:pt>
                <c:pt idx="1">
                  <c:v>Denmark</c:v>
                </c:pt>
                <c:pt idx="2">
                  <c:v>France</c:v>
                </c:pt>
                <c:pt idx="3">
                  <c:v>United Kingdom</c:v>
                </c:pt>
                <c:pt idx="4">
                  <c:v>Greece</c:v>
                </c:pt>
                <c:pt idx="5">
                  <c:v>Norway</c:v>
                </c:pt>
                <c:pt idx="6">
                  <c:v>Sweden</c:v>
                </c:pt>
                <c:pt idx="7">
                  <c:v>Slovenia</c:v>
                </c:pt>
              </c:strCache>
            </c:strRef>
          </c:cat>
          <c:val>
            <c:numRef>
              <c:f>Sheet1!$H$8:$H$16</c:f>
            </c:numRef>
          </c:val>
        </c:ser>
        <c:ser>
          <c:idx val="7"/>
          <c:order val="6"/>
          <c:tx>
            <c:strRef>
              <c:f>Sheet1!$I$6:$I$7</c:f>
              <c:strCache>
                <c:ptCount val="1"/>
                <c:pt idx="0">
                  <c:v>06</c:v>
                </c:pt>
              </c:strCache>
            </c:strRef>
          </c:tx>
          <c:invertIfNegative val="0"/>
          <c:cat>
            <c:strRef>
              <c:f>Sheet1!$B$8:$B$15</c:f>
              <c:strCache>
                <c:ptCount val="8"/>
                <c:pt idx="0">
                  <c:v>Germany</c:v>
                </c:pt>
                <c:pt idx="1">
                  <c:v>Denmark</c:v>
                </c:pt>
                <c:pt idx="2">
                  <c:v>France</c:v>
                </c:pt>
                <c:pt idx="3">
                  <c:v>United Kingdom</c:v>
                </c:pt>
                <c:pt idx="4">
                  <c:v>Greece</c:v>
                </c:pt>
                <c:pt idx="5">
                  <c:v>Norway</c:v>
                </c:pt>
                <c:pt idx="6">
                  <c:v>Sweden</c:v>
                </c:pt>
                <c:pt idx="7">
                  <c:v>Slovenia</c:v>
                </c:pt>
              </c:strCache>
            </c:strRef>
          </c:cat>
          <c:val>
            <c:numRef>
              <c:f>Sheet1!$I$8:$I$16</c:f>
            </c:numRef>
          </c:val>
        </c:ser>
        <c:ser>
          <c:idx val="8"/>
          <c:order val="7"/>
          <c:tx>
            <c:strRef>
              <c:f>Sheet1!$J$6:$J$7</c:f>
              <c:strCache>
                <c:ptCount val="1"/>
                <c:pt idx="0">
                  <c:v>07</c:v>
                </c:pt>
              </c:strCache>
            </c:strRef>
          </c:tx>
          <c:invertIfNegative val="0"/>
          <c:cat>
            <c:strRef>
              <c:f>Sheet1!$B$8:$B$15</c:f>
              <c:strCache>
                <c:ptCount val="8"/>
                <c:pt idx="0">
                  <c:v>Germany</c:v>
                </c:pt>
                <c:pt idx="1">
                  <c:v>Denmark</c:v>
                </c:pt>
                <c:pt idx="2">
                  <c:v>France</c:v>
                </c:pt>
                <c:pt idx="3">
                  <c:v>United Kingdom</c:v>
                </c:pt>
                <c:pt idx="4">
                  <c:v>Greece</c:v>
                </c:pt>
                <c:pt idx="5">
                  <c:v>Norway</c:v>
                </c:pt>
                <c:pt idx="6">
                  <c:v>Sweden</c:v>
                </c:pt>
                <c:pt idx="7">
                  <c:v>Slovenia</c:v>
                </c:pt>
              </c:strCache>
            </c:strRef>
          </c:cat>
          <c:val>
            <c:numRef>
              <c:f>Sheet1!$J$8:$J$16</c:f>
            </c:numRef>
          </c:val>
        </c:ser>
        <c:ser>
          <c:idx val="9"/>
          <c:order val="8"/>
          <c:tx>
            <c:strRef>
              <c:f>Sheet1!$K$6:$K$7</c:f>
              <c:strCache>
                <c:ptCount val="1"/>
                <c:pt idx="0">
                  <c:v>08</c:v>
                </c:pt>
              </c:strCache>
            </c:strRef>
          </c:tx>
          <c:invertIfNegative val="0"/>
          <c:cat>
            <c:strRef>
              <c:f>Sheet1!$B$8:$B$15</c:f>
              <c:strCache>
                <c:ptCount val="8"/>
                <c:pt idx="0">
                  <c:v>Germany</c:v>
                </c:pt>
                <c:pt idx="1">
                  <c:v>Denmark</c:v>
                </c:pt>
                <c:pt idx="2">
                  <c:v>France</c:v>
                </c:pt>
                <c:pt idx="3">
                  <c:v>United Kingdom</c:v>
                </c:pt>
                <c:pt idx="4">
                  <c:v>Greece</c:v>
                </c:pt>
                <c:pt idx="5">
                  <c:v>Norway</c:v>
                </c:pt>
                <c:pt idx="6">
                  <c:v>Sweden</c:v>
                </c:pt>
                <c:pt idx="7">
                  <c:v>Slovenia</c:v>
                </c:pt>
              </c:strCache>
            </c:strRef>
          </c:cat>
          <c:val>
            <c:numRef>
              <c:f>Sheet1!$K$8:$K$16</c:f>
            </c:numRef>
          </c:val>
        </c:ser>
        <c:ser>
          <c:idx val="10"/>
          <c:order val="9"/>
          <c:tx>
            <c:strRef>
              <c:f>Sheet1!$L$6:$L$7</c:f>
              <c:strCache>
                <c:ptCount val="1"/>
                <c:pt idx="0">
                  <c:v>09</c:v>
                </c:pt>
              </c:strCache>
            </c:strRef>
          </c:tx>
          <c:invertIfNegative val="0"/>
          <c:cat>
            <c:strRef>
              <c:f>Sheet1!$B$8:$B$15</c:f>
              <c:strCache>
                <c:ptCount val="8"/>
                <c:pt idx="0">
                  <c:v>Germany</c:v>
                </c:pt>
                <c:pt idx="1">
                  <c:v>Denmark</c:v>
                </c:pt>
                <c:pt idx="2">
                  <c:v>France</c:v>
                </c:pt>
                <c:pt idx="3">
                  <c:v>United Kingdom</c:v>
                </c:pt>
                <c:pt idx="4">
                  <c:v>Greece</c:v>
                </c:pt>
                <c:pt idx="5">
                  <c:v>Norway</c:v>
                </c:pt>
                <c:pt idx="6">
                  <c:v>Sweden</c:v>
                </c:pt>
                <c:pt idx="7">
                  <c:v>Slovenia</c:v>
                </c:pt>
              </c:strCache>
            </c:strRef>
          </c:cat>
          <c:val>
            <c:numRef>
              <c:f>Sheet1!$L$8:$L$16</c:f>
            </c:numRef>
          </c:val>
        </c:ser>
        <c:ser>
          <c:idx val="11"/>
          <c:order val="10"/>
          <c:tx>
            <c:strRef>
              <c:f>Sheet1!$M$6:$M$7</c:f>
              <c:strCache>
                <c:ptCount val="1"/>
                <c:pt idx="0">
                  <c:v>Entirely governments' responsibility</c:v>
                </c:pt>
              </c:strCache>
            </c:strRef>
          </c:tx>
          <c:invertIfNegative val="0"/>
          <c:cat>
            <c:strRef>
              <c:f>Sheet1!$B$8:$B$15</c:f>
              <c:strCache>
                <c:ptCount val="8"/>
                <c:pt idx="0">
                  <c:v>Germany</c:v>
                </c:pt>
                <c:pt idx="1">
                  <c:v>Denmark</c:v>
                </c:pt>
                <c:pt idx="2">
                  <c:v>France</c:v>
                </c:pt>
                <c:pt idx="3">
                  <c:v>United Kingdom</c:v>
                </c:pt>
                <c:pt idx="4">
                  <c:v>Greece</c:v>
                </c:pt>
                <c:pt idx="5">
                  <c:v>Norway</c:v>
                </c:pt>
                <c:pt idx="6">
                  <c:v>Sweden</c:v>
                </c:pt>
                <c:pt idx="7">
                  <c:v>Slovenia</c:v>
                </c:pt>
              </c:strCache>
            </c:strRef>
          </c:cat>
          <c:val>
            <c:numRef>
              <c:f>Sheet1!$M$8:$M$16</c:f>
            </c:numRef>
          </c:val>
        </c:ser>
        <c:ser>
          <c:idx val="12"/>
          <c:order val="11"/>
          <c:tx>
            <c:strRef>
              <c:f>Sheet1!$N$6:$N$7</c:f>
              <c:strCache>
                <c:ptCount val="1"/>
                <c:pt idx="0">
                  <c:v>Total</c:v>
                </c:pt>
              </c:strCache>
            </c:strRef>
          </c:tx>
          <c:invertIfNegative val="0"/>
          <c:cat>
            <c:strRef>
              <c:f>Sheet1!$B$8:$B$15</c:f>
              <c:strCache>
                <c:ptCount val="8"/>
                <c:pt idx="0">
                  <c:v>Germany</c:v>
                </c:pt>
                <c:pt idx="1">
                  <c:v>Denmark</c:v>
                </c:pt>
                <c:pt idx="2">
                  <c:v>France</c:v>
                </c:pt>
                <c:pt idx="3">
                  <c:v>United Kingdom</c:v>
                </c:pt>
                <c:pt idx="4">
                  <c:v>Greece</c:v>
                </c:pt>
                <c:pt idx="5">
                  <c:v>Norway</c:v>
                </c:pt>
                <c:pt idx="6">
                  <c:v>Sweden</c:v>
                </c:pt>
                <c:pt idx="7">
                  <c:v>Slovenia</c:v>
                </c:pt>
              </c:strCache>
            </c:strRef>
          </c:cat>
          <c:val>
            <c:numRef>
              <c:f>Sheet1!$N$8:$N$16</c:f>
            </c:numRef>
          </c:val>
        </c:ser>
        <c:ser>
          <c:idx val="13"/>
          <c:order val="12"/>
          <c:tx>
            <c:strRef>
              <c:f>Sheet1!$O$6:$O$7</c:f>
              <c:strCache>
                <c:ptCount val="1"/>
                <c:pt idx="0">
                  <c:v>Total</c:v>
                </c:pt>
              </c:strCache>
            </c:strRef>
          </c:tx>
          <c:invertIfNegative val="0"/>
          <c:cat>
            <c:strRef>
              <c:f>Sheet1!$B$8:$B$15</c:f>
              <c:strCache>
                <c:ptCount val="8"/>
                <c:pt idx="0">
                  <c:v>Germany</c:v>
                </c:pt>
                <c:pt idx="1">
                  <c:v>Denmark</c:v>
                </c:pt>
                <c:pt idx="2">
                  <c:v>France</c:v>
                </c:pt>
                <c:pt idx="3">
                  <c:v>United Kingdom</c:v>
                </c:pt>
                <c:pt idx="4">
                  <c:v>Greece</c:v>
                </c:pt>
                <c:pt idx="5">
                  <c:v>Norway</c:v>
                </c:pt>
                <c:pt idx="6">
                  <c:v>Sweden</c:v>
                </c:pt>
                <c:pt idx="7">
                  <c:v>Slovenia</c:v>
                </c:pt>
              </c:strCache>
            </c:strRef>
          </c:cat>
          <c:val>
            <c:numRef>
              <c:f>Sheet1!$O$8:$O$16</c:f>
            </c:numRef>
          </c:val>
        </c:ser>
        <c:ser>
          <c:idx val="14"/>
          <c:order val="13"/>
          <c:tx>
            <c:strRef>
              <c:f>Sheet1!$P$6:$P$7</c:f>
              <c:strCache>
                <c:ptCount val="1"/>
                <c:pt idx="0">
                  <c:v>Total No responsibility</c:v>
                </c:pt>
              </c:strCache>
            </c:strRef>
          </c:tx>
          <c:spPr>
            <a:solidFill>
              <a:schemeClr val="accent2"/>
            </a:solidFill>
          </c:spPr>
          <c:invertIfNegative val="0"/>
          <c:cat>
            <c:strRef>
              <c:f>Sheet1!$B$8:$B$15</c:f>
              <c:strCache>
                <c:ptCount val="8"/>
                <c:pt idx="0">
                  <c:v>Germany</c:v>
                </c:pt>
                <c:pt idx="1">
                  <c:v>Denmark</c:v>
                </c:pt>
                <c:pt idx="2">
                  <c:v>France</c:v>
                </c:pt>
                <c:pt idx="3">
                  <c:v>United Kingdom</c:v>
                </c:pt>
                <c:pt idx="4">
                  <c:v>Greece</c:v>
                </c:pt>
                <c:pt idx="5">
                  <c:v>Norway</c:v>
                </c:pt>
                <c:pt idx="6">
                  <c:v>Sweden</c:v>
                </c:pt>
                <c:pt idx="7">
                  <c:v>Slovenia</c:v>
                </c:pt>
              </c:strCache>
            </c:strRef>
          </c:cat>
          <c:val>
            <c:numRef>
              <c:f>Sheet1!$P$8:$P$15</c:f>
              <c:numCache>
                <c:formatCode>####.0%</c:formatCode>
                <c:ptCount val="8"/>
                <c:pt idx="0">
                  <c:v>6.9292487235594488E-2</c:v>
                </c:pt>
                <c:pt idx="1">
                  <c:v>1.6280525986224176E-2</c:v>
                </c:pt>
                <c:pt idx="2">
                  <c:v>2.3188405797101439E-2</c:v>
                </c:pt>
                <c:pt idx="3">
                  <c:v>1.1518771331058027E-2</c:v>
                </c:pt>
                <c:pt idx="4">
                  <c:v>2.227602905569008E-2</c:v>
                </c:pt>
                <c:pt idx="5">
                  <c:v>9.0556274256144917E-3</c:v>
                </c:pt>
                <c:pt idx="6">
                  <c:v>1.319406267179769E-2</c:v>
                </c:pt>
                <c:pt idx="7">
                  <c:v>2.9641185647425912E-2</c:v>
                </c:pt>
              </c:numCache>
            </c:numRef>
          </c:val>
        </c:ser>
        <c:ser>
          <c:idx val="15"/>
          <c:order val="14"/>
          <c:tx>
            <c:strRef>
              <c:f>Sheet1!$Q$6:$Q$7</c:f>
              <c:strCache>
                <c:ptCount val="1"/>
                <c:pt idx="0">
                  <c:v>Total Responsibility</c:v>
                </c:pt>
              </c:strCache>
            </c:strRef>
          </c:tx>
          <c:spPr>
            <a:solidFill>
              <a:schemeClr val="accent1"/>
            </a:solidFill>
          </c:spPr>
          <c:invertIfNegative val="0"/>
          <c:cat>
            <c:strRef>
              <c:f>Sheet1!$B$8:$B$15</c:f>
              <c:strCache>
                <c:ptCount val="8"/>
                <c:pt idx="0">
                  <c:v>Germany</c:v>
                </c:pt>
                <c:pt idx="1">
                  <c:v>Denmark</c:v>
                </c:pt>
                <c:pt idx="2">
                  <c:v>France</c:v>
                </c:pt>
                <c:pt idx="3">
                  <c:v>United Kingdom</c:v>
                </c:pt>
                <c:pt idx="4">
                  <c:v>Greece</c:v>
                </c:pt>
                <c:pt idx="5">
                  <c:v>Norway</c:v>
                </c:pt>
                <c:pt idx="6">
                  <c:v>Sweden</c:v>
                </c:pt>
                <c:pt idx="7">
                  <c:v>Slovenia</c:v>
                </c:pt>
              </c:strCache>
            </c:strRef>
          </c:cat>
          <c:val>
            <c:numRef>
              <c:f>Sheet1!$Q$8:$Q$15</c:f>
              <c:numCache>
                <c:formatCode>###0.0%</c:formatCode>
                <c:ptCount val="8"/>
                <c:pt idx="0">
                  <c:v>0.83916849015317319</c:v>
                </c:pt>
                <c:pt idx="1">
                  <c:v>0.93926111458985595</c:v>
                </c:pt>
                <c:pt idx="2">
                  <c:v>0.91304347826086962</c:v>
                </c:pt>
                <c:pt idx="3">
                  <c:v>0.96245733788395882</c:v>
                </c:pt>
                <c:pt idx="4">
                  <c:v>0.9520581113801454</c:v>
                </c:pt>
                <c:pt idx="5">
                  <c:v>0.9708926261319536</c:v>
                </c:pt>
                <c:pt idx="6">
                  <c:v>0.95931830676195695</c:v>
                </c:pt>
                <c:pt idx="7">
                  <c:v>0.92277691107644311</c:v>
                </c:pt>
              </c:numCache>
            </c:numRef>
          </c:val>
        </c:ser>
        <c:dLbls>
          <c:showLegendKey val="0"/>
          <c:showVal val="0"/>
          <c:showCatName val="0"/>
          <c:showSerName val="0"/>
          <c:showPercent val="0"/>
          <c:showBubbleSize val="0"/>
        </c:dLbls>
        <c:gapWidth val="150"/>
        <c:axId val="568456752"/>
        <c:axId val="568457536"/>
      </c:barChart>
      <c:catAx>
        <c:axId val="568456752"/>
        <c:scaling>
          <c:orientation val="minMax"/>
        </c:scaling>
        <c:delete val="0"/>
        <c:axPos val="b"/>
        <c:numFmt formatCode="General" sourceLinked="0"/>
        <c:majorTickMark val="out"/>
        <c:minorTickMark val="none"/>
        <c:tickLblPos val="nextTo"/>
        <c:crossAx val="568457536"/>
        <c:crosses val="autoZero"/>
        <c:auto val="1"/>
        <c:lblAlgn val="ctr"/>
        <c:lblOffset val="100"/>
        <c:noMultiLvlLbl val="0"/>
      </c:catAx>
      <c:valAx>
        <c:axId val="568457536"/>
        <c:scaling>
          <c:orientation val="minMax"/>
        </c:scaling>
        <c:delete val="0"/>
        <c:axPos val="l"/>
        <c:majorGridlines/>
        <c:numFmt formatCode="####.0%" sourceLinked="1"/>
        <c:majorTickMark val="out"/>
        <c:minorTickMark val="none"/>
        <c:tickLblPos val="nextTo"/>
        <c:crossAx val="568456752"/>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Sheet1!$M$5</c:f>
              <c:strCache>
                <c:ptCount val="1"/>
                <c:pt idx="0">
                  <c:v>Total</c:v>
                </c:pt>
              </c:strCache>
            </c:strRef>
          </c:tx>
          <c:invertIfNegative val="0"/>
          <c:cat>
            <c:strRef>
              <c:f>Sheet1!$A$7:$L$14</c:f>
              <c:strCache>
                <c:ptCount val="8"/>
                <c:pt idx="0">
                  <c:v>Germany</c:v>
                </c:pt>
                <c:pt idx="1">
                  <c:v>Denmark</c:v>
                </c:pt>
                <c:pt idx="2">
                  <c:v>France</c:v>
                </c:pt>
                <c:pt idx="3">
                  <c:v>United Kingdom</c:v>
                </c:pt>
                <c:pt idx="4">
                  <c:v>Greece</c:v>
                </c:pt>
                <c:pt idx="5">
                  <c:v>Norway</c:v>
                </c:pt>
                <c:pt idx="6">
                  <c:v>Sweden</c:v>
                </c:pt>
                <c:pt idx="7">
                  <c:v>Slovenia</c:v>
                </c:pt>
              </c:strCache>
            </c:strRef>
          </c:cat>
          <c:val>
            <c:numRef>
              <c:f>Sheet1!$M$6:$M$14</c:f>
            </c:numRef>
          </c:val>
        </c:ser>
        <c:ser>
          <c:idx val="1"/>
          <c:order val="1"/>
          <c:tx>
            <c:strRef>
              <c:f>Sheet1!$N$5</c:f>
              <c:strCache>
                <c:ptCount val="1"/>
              </c:strCache>
            </c:strRef>
          </c:tx>
          <c:invertIfNegative val="0"/>
          <c:cat>
            <c:strRef>
              <c:f>Sheet1!$A$7:$L$14</c:f>
              <c:strCache>
                <c:ptCount val="8"/>
                <c:pt idx="0">
                  <c:v>Germany</c:v>
                </c:pt>
                <c:pt idx="1">
                  <c:v>Denmark</c:v>
                </c:pt>
                <c:pt idx="2">
                  <c:v>France</c:v>
                </c:pt>
                <c:pt idx="3">
                  <c:v>United Kingdom</c:v>
                </c:pt>
                <c:pt idx="4">
                  <c:v>Greece</c:v>
                </c:pt>
                <c:pt idx="5">
                  <c:v>Norway</c:v>
                </c:pt>
                <c:pt idx="6">
                  <c:v>Sweden</c:v>
                </c:pt>
                <c:pt idx="7">
                  <c:v>Slovenia</c:v>
                </c:pt>
              </c:strCache>
            </c:strRef>
          </c:cat>
          <c:val>
            <c:numRef>
              <c:f>Sheet1!$N$6:$N$14</c:f>
            </c:numRef>
          </c:val>
        </c:ser>
        <c:ser>
          <c:idx val="2"/>
          <c:order val="2"/>
          <c:tx>
            <c:v>No responsibility</c:v>
          </c:tx>
          <c:spPr>
            <a:solidFill>
              <a:schemeClr val="accent2"/>
            </a:solidFill>
          </c:spPr>
          <c:invertIfNegative val="0"/>
          <c:cat>
            <c:strRef>
              <c:f>Sheet1!$A$7:$L$14</c:f>
              <c:strCache>
                <c:ptCount val="8"/>
                <c:pt idx="0">
                  <c:v>Germany</c:v>
                </c:pt>
                <c:pt idx="1">
                  <c:v>Denmark</c:v>
                </c:pt>
                <c:pt idx="2">
                  <c:v>France</c:v>
                </c:pt>
                <c:pt idx="3">
                  <c:v>United Kingdom</c:v>
                </c:pt>
                <c:pt idx="4">
                  <c:v>Greece</c:v>
                </c:pt>
                <c:pt idx="5">
                  <c:v>Norway</c:v>
                </c:pt>
                <c:pt idx="6">
                  <c:v>Sweden</c:v>
                </c:pt>
                <c:pt idx="7">
                  <c:v>Slovenia</c:v>
                </c:pt>
              </c:strCache>
            </c:strRef>
          </c:cat>
          <c:val>
            <c:numRef>
              <c:f>Sheet1!$O$7:$O$14</c:f>
              <c:numCache>
                <c:formatCode>###0.0%</c:formatCode>
                <c:ptCount val="8"/>
                <c:pt idx="0">
                  <c:v>0.26903367496339675</c:v>
                </c:pt>
                <c:pt idx="1">
                  <c:v>0.29968454258675081</c:v>
                </c:pt>
                <c:pt idx="2">
                  <c:v>0.28723920426977195</c:v>
                </c:pt>
                <c:pt idx="3">
                  <c:v>0.26512226512226533</c:v>
                </c:pt>
                <c:pt idx="4">
                  <c:v>7.0805043646944704E-2</c:v>
                </c:pt>
                <c:pt idx="5">
                  <c:v>0.2386804657179819</c:v>
                </c:pt>
                <c:pt idx="6">
                  <c:v>0.22376457523597992</c:v>
                </c:pt>
                <c:pt idx="7">
                  <c:v>0.15125391849529787</c:v>
                </c:pt>
              </c:numCache>
            </c:numRef>
          </c:val>
        </c:ser>
        <c:ser>
          <c:idx val="3"/>
          <c:order val="3"/>
          <c:tx>
            <c:v>Responsibility</c:v>
          </c:tx>
          <c:spPr>
            <a:solidFill>
              <a:schemeClr val="accent1"/>
            </a:solidFill>
          </c:spPr>
          <c:invertIfNegative val="0"/>
          <c:cat>
            <c:strRef>
              <c:f>Sheet1!$A$7:$L$14</c:f>
              <c:strCache>
                <c:ptCount val="8"/>
                <c:pt idx="0">
                  <c:v>Germany</c:v>
                </c:pt>
                <c:pt idx="1">
                  <c:v>Denmark</c:v>
                </c:pt>
                <c:pt idx="2">
                  <c:v>France</c:v>
                </c:pt>
                <c:pt idx="3">
                  <c:v>United Kingdom</c:v>
                </c:pt>
                <c:pt idx="4">
                  <c:v>Greece</c:v>
                </c:pt>
                <c:pt idx="5">
                  <c:v>Norway</c:v>
                </c:pt>
                <c:pt idx="6">
                  <c:v>Sweden</c:v>
                </c:pt>
                <c:pt idx="7">
                  <c:v>Slovenia</c:v>
                </c:pt>
              </c:strCache>
            </c:strRef>
          </c:cat>
          <c:val>
            <c:numRef>
              <c:f>Sheet1!$P$7:$P$14</c:f>
              <c:numCache>
                <c:formatCode>###0.0%</c:formatCode>
                <c:ptCount val="8"/>
                <c:pt idx="0">
                  <c:v>0.60980966325036623</c:v>
                </c:pt>
                <c:pt idx="1">
                  <c:v>0.48895899053627784</c:v>
                </c:pt>
                <c:pt idx="2">
                  <c:v>0.55312954876273657</c:v>
                </c:pt>
                <c:pt idx="3">
                  <c:v>0.57142857142857173</c:v>
                </c:pt>
                <c:pt idx="4">
                  <c:v>0.86178467507274492</c:v>
                </c:pt>
                <c:pt idx="5">
                  <c:v>0.58085381630012978</c:v>
                </c:pt>
                <c:pt idx="6">
                  <c:v>0.60244308717379258</c:v>
                </c:pt>
                <c:pt idx="7">
                  <c:v>0.73589341692790011</c:v>
                </c:pt>
              </c:numCache>
            </c:numRef>
          </c:val>
        </c:ser>
        <c:dLbls>
          <c:showLegendKey val="0"/>
          <c:showVal val="0"/>
          <c:showCatName val="0"/>
          <c:showSerName val="0"/>
          <c:showPercent val="0"/>
          <c:showBubbleSize val="0"/>
        </c:dLbls>
        <c:gapWidth val="150"/>
        <c:axId val="568458712"/>
        <c:axId val="568457144"/>
      </c:barChart>
      <c:catAx>
        <c:axId val="568458712"/>
        <c:scaling>
          <c:orientation val="minMax"/>
        </c:scaling>
        <c:delete val="0"/>
        <c:axPos val="b"/>
        <c:numFmt formatCode="General" sourceLinked="0"/>
        <c:majorTickMark val="out"/>
        <c:minorTickMark val="none"/>
        <c:tickLblPos val="nextTo"/>
        <c:crossAx val="568457144"/>
        <c:crosses val="autoZero"/>
        <c:auto val="1"/>
        <c:lblAlgn val="ctr"/>
        <c:lblOffset val="100"/>
        <c:noMultiLvlLbl val="0"/>
      </c:catAx>
      <c:valAx>
        <c:axId val="568457144"/>
        <c:scaling>
          <c:orientation val="minMax"/>
        </c:scaling>
        <c:delete val="0"/>
        <c:axPos val="l"/>
        <c:majorGridlines/>
        <c:numFmt formatCode="###0.0%" sourceLinked="1"/>
        <c:majorTickMark val="out"/>
        <c:minorTickMark val="none"/>
        <c:tickLblPos val="nextTo"/>
        <c:crossAx val="568458712"/>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Sheet1!$A$16</c:f>
              <c:strCache>
                <c:ptCount val="1"/>
                <c:pt idx="0">
                  <c:v>Germany</c:v>
                </c:pt>
              </c:strCache>
            </c:strRef>
          </c:tx>
          <c:cat>
            <c:numRef>
              <c:f>Sheet1!$B$15:$E$15</c:f>
              <c:numCache>
                <c:formatCode>General</c:formatCode>
                <c:ptCount val="4"/>
                <c:pt idx="0">
                  <c:v>1985</c:v>
                </c:pt>
                <c:pt idx="1">
                  <c:v>1990</c:v>
                </c:pt>
                <c:pt idx="2">
                  <c:v>1996</c:v>
                </c:pt>
                <c:pt idx="3">
                  <c:v>2006</c:v>
                </c:pt>
              </c:numCache>
            </c:numRef>
          </c:cat>
          <c:val>
            <c:numRef>
              <c:f>Sheet1!$B$16:$E$16</c:f>
              <c:numCache>
                <c:formatCode>0.00%</c:formatCode>
                <c:ptCount val="4"/>
                <c:pt idx="0">
                  <c:v>0.46400000000000002</c:v>
                </c:pt>
                <c:pt idx="1">
                  <c:v>0.55000000000000004</c:v>
                </c:pt>
                <c:pt idx="2">
                  <c:v>0.52</c:v>
                </c:pt>
                <c:pt idx="3">
                  <c:v>0.51500000000000001</c:v>
                </c:pt>
              </c:numCache>
            </c:numRef>
          </c:val>
          <c:smooth val="0"/>
        </c:ser>
        <c:ser>
          <c:idx val="1"/>
          <c:order val="1"/>
          <c:tx>
            <c:strRef>
              <c:f>Sheet1!$A$17</c:f>
              <c:strCache>
                <c:ptCount val="1"/>
                <c:pt idx="0">
                  <c:v>United Kingdom</c:v>
                </c:pt>
              </c:strCache>
            </c:strRef>
          </c:tx>
          <c:cat>
            <c:numRef>
              <c:f>Sheet1!$B$15:$E$15</c:f>
              <c:numCache>
                <c:formatCode>General</c:formatCode>
                <c:ptCount val="4"/>
                <c:pt idx="0">
                  <c:v>1985</c:v>
                </c:pt>
                <c:pt idx="1">
                  <c:v>1990</c:v>
                </c:pt>
                <c:pt idx="2">
                  <c:v>1996</c:v>
                </c:pt>
                <c:pt idx="3">
                  <c:v>2006</c:v>
                </c:pt>
              </c:numCache>
            </c:numRef>
          </c:cat>
          <c:val>
            <c:numRef>
              <c:f>Sheet1!$B$17:$E$17</c:f>
              <c:numCache>
                <c:formatCode>0.00%</c:formatCode>
                <c:ptCount val="4"/>
                <c:pt idx="0">
                  <c:v>0.75100000000000022</c:v>
                </c:pt>
                <c:pt idx="1">
                  <c:v>0.81699999999999995</c:v>
                </c:pt>
                <c:pt idx="2">
                  <c:v>0.8</c:v>
                </c:pt>
                <c:pt idx="3">
                  <c:v>0.74500000000000022</c:v>
                </c:pt>
              </c:numCache>
            </c:numRef>
          </c:val>
          <c:smooth val="0"/>
        </c:ser>
        <c:ser>
          <c:idx val="2"/>
          <c:order val="2"/>
          <c:tx>
            <c:strRef>
              <c:f>Sheet1!$A$18</c:f>
              <c:strCache>
                <c:ptCount val="1"/>
                <c:pt idx="0">
                  <c:v>Norway</c:v>
                </c:pt>
              </c:strCache>
            </c:strRef>
          </c:tx>
          <c:cat>
            <c:numRef>
              <c:f>Sheet1!$B$15:$E$15</c:f>
              <c:numCache>
                <c:formatCode>General</c:formatCode>
                <c:ptCount val="4"/>
                <c:pt idx="0">
                  <c:v>1985</c:v>
                </c:pt>
                <c:pt idx="1">
                  <c:v>1990</c:v>
                </c:pt>
                <c:pt idx="2">
                  <c:v>1996</c:v>
                </c:pt>
                <c:pt idx="3">
                  <c:v>2006</c:v>
                </c:pt>
              </c:numCache>
            </c:numRef>
          </c:cat>
          <c:val>
            <c:numRef>
              <c:f>Sheet1!$B$18:$E$18</c:f>
              <c:numCache>
                <c:formatCode>0.00%</c:formatCode>
                <c:ptCount val="4"/>
                <c:pt idx="1">
                  <c:v>0.71500000000000019</c:v>
                </c:pt>
                <c:pt idx="2">
                  <c:v>0.56999999999999995</c:v>
                </c:pt>
                <c:pt idx="3">
                  <c:v>0.58899999999999997</c:v>
                </c:pt>
              </c:numCache>
            </c:numRef>
          </c:val>
          <c:smooth val="0"/>
        </c:ser>
        <c:ser>
          <c:idx val="3"/>
          <c:order val="3"/>
          <c:tx>
            <c:strRef>
              <c:f>Sheet1!$A$19</c:f>
              <c:strCache>
                <c:ptCount val="1"/>
                <c:pt idx="0">
                  <c:v>Slovenia</c:v>
                </c:pt>
              </c:strCache>
            </c:strRef>
          </c:tx>
          <c:cat>
            <c:numRef>
              <c:f>Sheet1!$B$15:$E$15</c:f>
              <c:numCache>
                <c:formatCode>General</c:formatCode>
                <c:ptCount val="4"/>
                <c:pt idx="0">
                  <c:v>1985</c:v>
                </c:pt>
                <c:pt idx="1">
                  <c:v>1990</c:v>
                </c:pt>
                <c:pt idx="2">
                  <c:v>1996</c:v>
                </c:pt>
                <c:pt idx="3">
                  <c:v>2006</c:v>
                </c:pt>
              </c:numCache>
            </c:numRef>
          </c:cat>
          <c:val>
            <c:numRef>
              <c:f>Sheet1!$B$19:$E$19</c:f>
              <c:numCache>
                <c:formatCode>General</c:formatCode>
                <c:ptCount val="4"/>
                <c:pt idx="2" formatCode="0.00%">
                  <c:v>0.58899999999999997</c:v>
                </c:pt>
                <c:pt idx="3" formatCode="0.00%">
                  <c:v>0.61100000000000021</c:v>
                </c:pt>
              </c:numCache>
            </c:numRef>
          </c:val>
          <c:smooth val="0"/>
        </c:ser>
        <c:ser>
          <c:idx val="4"/>
          <c:order val="4"/>
          <c:tx>
            <c:strRef>
              <c:f>Sheet1!$A$20</c:f>
              <c:strCache>
                <c:ptCount val="1"/>
                <c:pt idx="0">
                  <c:v>Denmark</c:v>
                </c:pt>
              </c:strCache>
            </c:strRef>
          </c:tx>
          <c:cat>
            <c:numRef>
              <c:f>Sheet1!$B$15:$E$15</c:f>
              <c:numCache>
                <c:formatCode>General</c:formatCode>
                <c:ptCount val="4"/>
                <c:pt idx="0">
                  <c:v>1985</c:v>
                </c:pt>
                <c:pt idx="1">
                  <c:v>1990</c:v>
                </c:pt>
                <c:pt idx="2">
                  <c:v>1996</c:v>
                </c:pt>
                <c:pt idx="3">
                  <c:v>2006</c:v>
                </c:pt>
              </c:numCache>
            </c:numRef>
          </c:cat>
          <c:val>
            <c:numRef>
              <c:f>Sheet1!$B$20:$E$20</c:f>
              <c:numCache>
                <c:formatCode>General</c:formatCode>
                <c:ptCount val="4"/>
                <c:pt idx="3" formatCode="0.00%">
                  <c:v>0.52900000000000003</c:v>
                </c:pt>
              </c:numCache>
            </c:numRef>
          </c:val>
          <c:smooth val="0"/>
        </c:ser>
        <c:dLbls>
          <c:showLegendKey val="0"/>
          <c:showVal val="0"/>
          <c:showCatName val="0"/>
          <c:showSerName val="0"/>
          <c:showPercent val="0"/>
          <c:showBubbleSize val="0"/>
        </c:dLbls>
        <c:marker val="1"/>
        <c:smooth val="0"/>
        <c:axId val="400849080"/>
        <c:axId val="400849472"/>
      </c:lineChart>
      <c:catAx>
        <c:axId val="400849080"/>
        <c:scaling>
          <c:orientation val="minMax"/>
        </c:scaling>
        <c:delete val="0"/>
        <c:axPos val="b"/>
        <c:numFmt formatCode="General" sourceLinked="1"/>
        <c:majorTickMark val="out"/>
        <c:minorTickMark val="none"/>
        <c:tickLblPos val="nextTo"/>
        <c:crossAx val="400849472"/>
        <c:crosses val="autoZero"/>
        <c:auto val="1"/>
        <c:lblAlgn val="ctr"/>
        <c:lblOffset val="100"/>
        <c:noMultiLvlLbl val="0"/>
      </c:catAx>
      <c:valAx>
        <c:axId val="400849472"/>
        <c:scaling>
          <c:orientation val="minMax"/>
        </c:scaling>
        <c:delete val="0"/>
        <c:axPos val="l"/>
        <c:majorGridlines/>
        <c:numFmt formatCode="0.00%" sourceLinked="1"/>
        <c:majorTickMark val="out"/>
        <c:minorTickMark val="none"/>
        <c:tickLblPos val="nextTo"/>
        <c:crossAx val="400849080"/>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Sheet1!$A$16</c:f>
              <c:strCache>
                <c:ptCount val="1"/>
                <c:pt idx="0">
                  <c:v>Germany</c:v>
                </c:pt>
              </c:strCache>
            </c:strRef>
          </c:tx>
          <c:cat>
            <c:numRef>
              <c:f>Sheet1!$F$15:$I$15</c:f>
              <c:numCache>
                <c:formatCode>General</c:formatCode>
                <c:ptCount val="4"/>
                <c:pt idx="0">
                  <c:v>1985</c:v>
                </c:pt>
                <c:pt idx="1">
                  <c:v>1990</c:v>
                </c:pt>
                <c:pt idx="2">
                  <c:v>1996</c:v>
                </c:pt>
                <c:pt idx="3">
                  <c:v>2006</c:v>
                </c:pt>
              </c:numCache>
            </c:numRef>
          </c:cat>
          <c:val>
            <c:numRef>
              <c:f>Sheet1!$F$16:$I$16</c:f>
              <c:numCache>
                <c:formatCode>0.00%</c:formatCode>
                <c:ptCount val="4"/>
                <c:pt idx="0">
                  <c:v>0.34700000000000009</c:v>
                </c:pt>
                <c:pt idx="1">
                  <c:v>0.36600000000000016</c:v>
                </c:pt>
                <c:pt idx="2">
                  <c:v>0.42400000000000015</c:v>
                </c:pt>
                <c:pt idx="3">
                  <c:v>0.32800000000000012</c:v>
                </c:pt>
              </c:numCache>
            </c:numRef>
          </c:val>
          <c:smooth val="0"/>
        </c:ser>
        <c:ser>
          <c:idx val="1"/>
          <c:order val="1"/>
          <c:tx>
            <c:strRef>
              <c:f>Sheet1!$A$17</c:f>
              <c:strCache>
                <c:ptCount val="1"/>
                <c:pt idx="0">
                  <c:v>United Kingdom</c:v>
                </c:pt>
              </c:strCache>
            </c:strRef>
          </c:tx>
          <c:cat>
            <c:numRef>
              <c:f>Sheet1!$F$15:$I$15</c:f>
              <c:numCache>
                <c:formatCode>General</c:formatCode>
                <c:ptCount val="4"/>
                <c:pt idx="0">
                  <c:v>1985</c:v>
                </c:pt>
                <c:pt idx="1">
                  <c:v>1990</c:v>
                </c:pt>
                <c:pt idx="2">
                  <c:v>1996</c:v>
                </c:pt>
                <c:pt idx="3">
                  <c:v>2006</c:v>
                </c:pt>
              </c:numCache>
            </c:numRef>
          </c:cat>
          <c:val>
            <c:numRef>
              <c:f>Sheet1!$F$17:$I$17</c:f>
              <c:numCache>
                <c:formatCode>0.00%</c:formatCode>
                <c:ptCount val="4"/>
                <c:pt idx="0">
                  <c:v>0.41100000000000009</c:v>
                </c:pt>
                <c:pt idx="1">
                  <c:v>0.3580000000000001</c:v>
                </c:pt>
                <c:pt idx="2">
                  <c:v>0.35900000000000015</c:v>
                </c:pt>
                <c:pt idx="3">
                  <c:v>0.15700000000000006</c:v>
                </c:pt>
              </c:numCache>
            </c:numRef>
          </c:val>
          <c:smooth val="0"/>
        </c:ser>
        <c:ser>
          <c:idx val="2"/>
          <c:order val="2"/>
          <c:tx>
            <c:strRef>
              <c:f>Sheet1!$A$18</c:f>
              <c:strCache>
                <c:ptCount val="1"/>
                <c:pt idx="0">
                  <c:v>Norway</c:v>
                </c:pt>
              </c:strCache>
            </c:strRef>
          </c:tx>
          <c:cat>
            <c:numRef>
              <c:f>Sheet1!$F$15:$I$15</c:f>
              <c:numCache>
                <c:formatCode>General</c:formatCode>
                <c:ptCount val="4"/>
                <c:pt idx="0">
                  <c:v>1985</c:v>
                </c:pt>
                <c:pt idx="1">
                  <c:v>1990</c:v>
                </c:pt>
                <c:pt idx="2">
                  <c:v>1996</c:v>
                </c:pt>
                <c:pt idx="3">
                  <c:v>2006</c:v>
                </c:pt>
              </c:numCache>
            </c:numRef>
          </c:cat>
          <c:val>
            <c:numRef>
              <c:f>Sheet1!$F$18:$I$18</c:f>
              <c:numCache>
                <c:formatCode>0.00%</c:formatCode>
                <c:ptCount val="4"/>
                <c:pt idx="1">
                  <c:v>0.191</c:v>
                </c:pt>
                <c:pt idx="2">
                  <c:v>0.19600000000000001</c:v>
                </c:pt>
                <c:pt idx="3">
                  <c:v>0.192</c:v>
                </c:pt>
              </c:numCache>
            </c:numRef>
          </c:val>
          <c:smooth val="0"/>
        </c:ser>
        <c:ser>
          <c:idx val="3"/>
          <c:order val="3"/>
          <c:tx>
            <c:strRef>
              <c:f>Sheet1!$A$19</c:f>
              <c:strCache>
                <c:ptCount val="1"/>
                <c:pt idx="0">
                  <c:v>Slovenia</c:v>
                </c:pt>
              </c:strCache>
            </c:strRef>
          </c:tx>
          <c:cat>
            <c:numRef>
              <c:f>Sheet1!$F$15:$I$15</c:f>
              <c:numCache>
                <c:formatCode>General</c:formatCode>
                <c:ptCount val="4"/>
                <c:pt idx="0">
                  <c:v>1985</c:v>
                </c:pt>
                <c:pt idx="1">
                  <c:v>1990</c:v>
                </c:pt>
                <c:pt idx="2">
                  <c:v>1996</c:v>
                </c:pt>
                <c:pt idx="3">
                  <c:v>2006</c:v>
                </c:pt>
              </c:numCache>
            </c:numRef>
          </c:cat>
          <c:val>
            <c:numRef>
              <c:f>Sheet1!$F$19:$I$19</c:f>
              <c:numCache>
                <c:formatCode>General</c:formatCode>
                <c:ptCount val="4"/>
                <c:pt idx="2" formatCode="0.00%">
                  <c:v>0.49800000000000011</c:v>
                </c:pt>
                <c:pt idx="3" formatCode="0.00%">
                  <c:v>0.41200000000000009</c:v>
                </c:pt>
              </c:numCache>
            </c:numRef>
          </c:val>
          <c:smooth val="0"/>
        </c:ser>
        <c:ser>
          <c:idx val="4"/>
          <c:order val="4"/>
          <c:tx>
            <c:strRef>
              <c:f>Sheet1!$A$20</c:f>
              <c:strCache>
                <c:ptCount val="1"/>
                <c:pt idx="0">
                  <c:v>Denmark</c:v>
                </c:pt>
              </c:strCache>
            </c:strRef>
          </c:tx>
          <c:cat>
            <c:numRef>
              <c:f>Sheet1!$F$15:$I$15</c:f>
              <c:numCache>
                <c:formatCode>General</c:formatCode>
                <c:ptCount val="4"/>
                <c:pt idx="0">
                  <c:v>1985</c:v>
                </c:pt>
                <c:pt idx="1">
                  <c:v>1990</c:v>
                </c:pt>
                <c:pt idx="2">
                  <c:v>1996</c:v>
                </c:pt>
                <c:pt idx="3">
                  <c:v>2006</c:v>
                </c:pt>
              </c:numCache>
            </c:numRef>
          </c:cat>
          <c:val>
            <c:numRef>
              <c:f>Sheet1!$F$20:$I$20</c:f>
              <c:numCache>
                <c:formatCode>General</c:formatCode>
                <c:ptCount val="4"/>
                <c:pt idx="3" formatCode="0.00%">
                  <c:v>0.19800000000000001</c:v>
                </c:pt>
              </c:numCache>
            </c:numRef>
          </c:val>
          <c:smooth val="0"/>
        </c:ser>
        <c:dLbls>
          <c:showLegendKey val="0"/>
          <c:showVal val="0"/>
          <c:showCatName val="0"/>
          <c:showSerName val="0"/>
          <c:showPercent val="0"/>
          <c:showBubbleSize val="0"/>
        </c:dLbls>
        <c:marker val="1"/>
        <c:smooth val="0"/>
        <c:axId val="400847120"/>
        <c:axId val="400844768"/>
      </c:lineChart>
      <c:catAx>
        <c:axId val="400847120"/>
        <c:scaling>
          <c:orientation val="minMax"/>
        </c:scaling>
        <c:delete val="0"/>
        <c:axPos val="b"/>
        <c:numFmt formatCode="General" sourceLinked="1"/>
        <c:majorTickMark val="out"/>
        <c:minorTickMark val="none"/>
        <c:tickLblPos val="nextTo"/>
        <c:crossAx val="400844768"/>
        <c:crosses val="autoZero"/>
        <c:auto val="1"/>
        <c:lblAlgn val="ctr"/>
        <c:lblOffset val="100"/>
        <c:noMultiLvlLbl val="0"/>
      </c:catAx>
      <c:valAx>
        <c:axId val="400844768"/>
        <c:scaling>
          <c:orientation val="minMax"/>
        </c:scaling>
        <c:delete val="0"/>
        <c:axPos val="l"/>
        <c:majorGridlines/>
        <c:numFmt formatCode="0.00%" sourceLinked="1"/>
        <c:majorTickMark val="out"/>
        <c:minorTickMark val="none"/>
        <c:tickLblPos val="nextTo"/>
        <c:crossAx val="400847120"/>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Sheet1!$A$16</c:f>
              <c:strCache>
                <c:ptCount val="1"/>
                <c:pt idx="0">
                  <c:v>Germany</c:v>
                </c:pt>
              </c:strCache>
            </c:strRef>
          </c:tx>
          <c:cat>
            <c:numRef>
              <c:f>Sheet1!$J$15:$M$15</c:f>
              <c:numCache>
                <c:formatCode>General</c:formatCode>
                <c:ptCount val="4"/>
                <c:pt idx="0">
                  <c:v>1985</c:v>
                </c:pt>
                <c:pt idx="1">
                  <c:v>1990</c:v>
                </c:pt>
                <c:pt idx="2">
                  <c:v>1996</c:v>
                </c:pt>
                <c:pt idx="3">
                  <c:v>2006</c:v>
                </c:pt>
              </c:numCache>
            </c:numRef>
          </c:cat>
          <c:val>
            <c:numRef>
              <c:f>Sheet1!$J$16:$M$16</c:f>
              <c:numCache>
                <c:formatCode>0.00%</c:formatCode>
                <c:ptCount val="4"/>
                <c:pt idx="0">
                  <c:v>0.52300000000000002</c:v>
                </c:pt>
                <c:pt idx="1">
                  <c:v>0.7300000000000002</c:v>
                </c:pt>
                <c:pt idx="2">
                  <c:v>0.62600000000000022</c:v>
                </c:pt>
                <c:pt idx="3">
                  <c:v>0.65700000000000025</c:v>
                </c:pt>
              </c:numCache>
            </c:numRef>
          </c:val>
          <c:smooth val="0"/>
        </c:ser>
        <c:ser>
          <c:idx val="1"/>
          <c:order val="1"/>
          <c:tx>
            <c:strRef>
              <c:f>Sheet1!$A$17</c:f>
              <c:strCache>
                <c:ptCount val="1"/>
                <c:pt idx="0">
                  <c:v>United Kingdom</c:v>
                </c:pt>
              </c:strCache>
            </c:strRef>
          </c:tx>
          <c:cat>
            <c:numRef>
              <c:f>Sheet1!$J$15:$M$15</c:f>
              <c:numCache>
                <c:formatCode>General</c:formatCode>
                <c:ptCount val="4"/>
                <c:pt idx="0">
                  <c:v>1985</c:v>
                </c:pt>
                <c:pt idx="1">
                  <c:v>1990</c:v>
                </c:pt>
                <c:pt idx="2">
                  <c:v>1996</c:v>
                </c:pt>
                <c:pt idx="3">
                  <c:v>2006</c:v>
                </c:pt>
              </c:numCache>
            </c:numRef>
          </c:cat>
          <c:val>
            <c:numRef>
              <c:f>Sheet1!$J$17:$M$17</c:f>
              <c:numCache>
                <c:formatCode>0.00%</c:formatCode>
                <c:ptCount val="4"/>
                <c:pt idx="0">
                  <c:v>0.88</c:v>
                </c:pt>
                <c:pt idx="1">
                  <c:v>0.89900000000000002</c:v>
                </c:pt>
                <c:pt idx="2">
                  <c:v>0.91500000000000004</c:v>
                </c:pt>
                <c:pt idx="3">
                  <c:v>0.82099999999999995</c:v>
                </c:pt>
              </c:numCache>
            </c:numRef>
          </c:val>
          <c:smooth val="0"/>
        </c:ser>
        <c:ser>
          <c:idx val="2"/>
          <c:order val="2"/>
          <c:tx>
            <c:strRef>
              <c:f>Sheet1!$A$18</c:f>
              <c:strCache>
                <c:ptCount val="1"/>
                <c:pt idx="0">
                  <c:v>Norway</c:v>
                </c:pt>
              </c:strCache>
            </c:strRef>
          </c:tx>
          <c:cat>
            <c:numRef>
              <c:f>Sheet1!$J$15:$M$15</c:f>
              <c:numCache>
                <c:formatCode>General</c:formatCode>
                <c:ptCount val="4"/>
                <c:pt idx="0">
                  <c:v>1985</c:v>
                </c:pt>
                <c:pt idx="1">
                  <c:v>1990</c:v>
                </c:pt>
                <c:pt idx="2">
                  <c:v>1996</c:v>
                </c:pt>
                <c:pt idx="3">
                  <c:v>2006</c:v>
                </c:pt>
              </c:numCache>
            </c:numRef>
          </c:cat>
          <c:val>
            <c:numRef>
              <c:f>Sheet1!$J$18:$M$18</c:f>
              <c:numCache>
                <c:formatCode>0.00%</c:formatCode>
                <c:ptCount val="4"/>
                <c:pt idx="1">
                  <c:v>0.83200000000000018</c:v>
                </c:pt>
                <c:pt idx="2">
                  <c:v>0.8520000000000002</c:v>
                </c:pt>
                <c:pt idx="3">
                  <c:v>0.85600000000000021</c:v>
                </c:pt>
              </c:numCache>
            </c:numRef>
          </c:val>
          <c:smooth val="0"/>
        </c:ser>
        <c:ser>
          <c:idx val="3"/>
          <c:order val="3"/>
          <c:tx>
            <c:strRef>
              <c:f>Sheet1!$A$19</c:f>
              <c:strCache>
                <c:ptCount val="1"/>
                <c:pt idx="0">
                  <c:v>Slovenia</c:v>
                </c:pt>
              </c:strCache>
            </c:strRef>
          </c:tx>
          <c:cat>
            <c:numRef>
              <c:f>Sheet1!$J$15:$M$15</c:f>
              <c:numCache>
                <c:formatCode>General</c:formatCode>
                <c:ptCount val="4"/>
                <c:pt idx="0">
                  <c:v>1985</c:v>
                </c:pt>
                <c:pt idx="1">
                  <c:v>1990</c:v>
                </c:pt>
                <c:pt idx="2">
                  <c:v>1996</c:v>
                </c:pt>
                <c:pt idx="3">
                  <c:v>2006</c:v>
                </c:pt>
              </c:numCache>
            </c:numRef>
          </c:cat>
          <c:val>
            <c:numRef>
              <c:f>Sheet1!$J$19:$M$19</c:f>
              <c:numCache>
                <c:formatCode>General</c:formatCode>
                <c:ptCount val="4"/>
                <c:pt idx="2" formatCode="0.00%">
                  <c:v>0.80700000000000005</c:v>
                </c:pt>
                <c:pt idx="3" formatCode="0.00%">
                  <c:v>0.81</c:v>
                </c:pt>
              </c:numCache>
            </c:numRef>
          </c:val>
          <c:smooth val="0"/>
        </c:ser>
        <c:ser>
          <c:idx val="4"/>
          <c:order val="4"/>
          <c:tx>
            <c:strRef>
              <c:f>Sheet1!$A$20</c:f>
              <c:strCache>
                <c:ptCount val="1"/>
                <c:pt idx="0">
                  <c:v>Denmark</c:v>
                </c:pt>
              </c:strCache>
            </c:strRef>
          </c:tx>
          <c:cat>
            <c:numRef>
              <c:f>Sheet1!$J$15:$M$15</c:f>
              <c:numCache>
                <c:formatCode>General</c:formatCode>
                <c:ptCount val="4"/>
                <c:pt idx="0">
                  <c:v>1985</c:v>
                </c:pt>
                <c:pt idx="1">
                  <c:v>1990</c:v>
                </c:pt>
                <c:pt idx="2">
                  <c:v>1996</c:v>
                </c:pt>
                <c:pt idx="3">
                  <c:v>2006</c:v>
                </c:pt>
              </c:numCache>
            </c:numRef>
          </c:cat>
          <c:val>
            <c:numRef>
              <c:f>Sheet1!$J$20:$M$20</c:f>
              <c:numCache>
                <c:formatCode>General</c:formatCode>
                <c:ptCount val="4"/>
                <c:pt idx="3" formatCode="0.00%">
                  <c:v>0.80900000000000005</c:v>
                </c:pt>
              </c:numCache>
            </c:numRef>
          </c:val>
          <c:smooth val="0"/>
        </c:ser>
        <c:dLbls>
          <c:showLegendKey val="0"/>
          <c:showVal val="0"/>
          <c:showCatName val="0"/>
          <c:showSerName val="0"/>
          <c:showPercent val="0"/>
          <c:showBubbleSize val="0"/>
        </c:dLbls>
        <c:marker val="1"/>
        <c:smooth val="0"/>
        <c:axId val="400845552"/>
        <c:axId val="400847904"/>
      </c:lineChart>
      <c:catAx>
        <c:axId val="400845552"/>
        <c:scaling>
          <c:orientation val="minMax"/>
        </c:scaling>
        <c:delete val="0"/>
        <c:axPos val="b"/>
        <c:numFmt formatCode="General" sourceLinked="1"/>
        <c:majorTickMark val="out"/>
        <c:minorTickMark val="none"/>
        <c:tickLblPos val="nextTo"/>
        <c:crossAx val="400847904"/>
        <c:crosses val="autoZero"/>
        <c:auto val="1"/>
        <c:lblAlgn val="ctr"/>
        <c:lblOffset val="100"/>
        <c:noMultiLvlLbl val="0"/>
      </c:catAx>
      <c:valAx>
        <c:axId val="400847904"/>
        <c:scaling>
          <c:orientation val="minMax"/>
        </c:scaling>
        <c:delete val="0"/>
        <c:axPos val="l"/>
        <c:majorGridlines/>
        <c:numFmt formatCode="0.00%" sourceLinked="1"/>
        <c:majorTickMark val="out"/>
        <c:minorTickMark val="none"/>
        <c:tickLblPos val="nextTo"/>
        <c:crossAx val="40084555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2D222-CD34-4D5D-919B-2E1C2A6E7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6534</Words>
  <Characters>37248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43695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Leruth</dc:creator>
  <cp:lastModifiedBy>Benjamin Leruth</cp:lastModifiedBy>
  <cp:revision>2</cp:revision>
  <cp:lastPrinted>2015-08-28T15:01:00Z</cp:lastPrinted>
  <dcterms:created xsi:type="dcterms:W3CDTF">2015-08-30T15:19:00Z</dcterms:created>
  <dcterms:modified xsi:type="dcterms:W3CDTF">2015-08-30T15:19:00Z</dcterms:modified>
</cp:coreProperties>
</file>