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FD" w:rsidRPr="00060E7A" w:rsidRDefault="00CD1792" w:rsidP="00EC53FD">
      <w:pPr>
        <w:pStyle w:val="Title"/>
        <w:jc w:val="left"/>
        <w:rPr>
          <w:lang w:val="en-GB"/>
        </w:rPr>
      </w:pPr>
      <w:bookmarkStart w:id="0" w:name="_Toc427117805"/>
      <w:bookmarkStart w:id="1" w:name="_GoBack"/>
      <w:bookmarkEnd w:id="1"/>
      <w:r w:rsidRPr="00060E7A">
        <w:rPr>
          <w:lang w:val="en-GB"/>
        </w:rPr>
        <w:t>Denmark. The Resilience of Welfare State Support</w:t>
      </w:r>
      <w:bookmarkEnd w:id="0"/>
      <w:r w:rsidR="00173248" w:rsidRPr="00060E7A">
        <w:rPr>
          <w:lang w:val="en-GB"/>
        </w:rPr>
        <w:t xml:space="preserve"> </w:t>
      </w:r>
    </w:p>
    <w:sdt>
      <w:sdtPr>
        <w:rPr>
          <w:rFonts w:asciiTheme="minorHAnsi" w:eastAsiaTheme="minorHAnsi" w:hAnsiTheme="minorHAnsi" w:cstheme="minorBidi"/>
          <w:b w:val="0"/>
          <w:bCs w:val="0"/>
          <w:kern w:val="0"/>
          <w:sz w:val="22"/>
          <w:szCs w:val="22"/>
          <w:lang w:val="en-GB" w:eastAsia="en-US"/>
        </w:rPr>
        <w:id w:val="37934019"/>
        <w:docPartObj>
          <w:docPartGallery w:val="Table of Contents"/>
          <w:docPartUnique/>
        </w:docPartObj>
      </w:sdtPr>
      <w:sdtEndPr>
        <w:rPr>
          <w:rFonts w:eastAsiaTheme="minorEastAsia"/>
        </w:rPr>
      </w:sdtEndPr>
      <w:sdtContent>
        <w:p w:rsidR="00086194" w:rsidRPr="00060E7A" w:rsidRDefault="00086194" w:rsidP="00EC53FD">
          <w:pPr>
            <w:pStyle w:val="Title"/>
            <w:jc w:val="left"/>
            <w:rPr>
              <w:rFonts w:eastAsiaTheme="minorHAnsi"/>
              <w:lang w:val="en-GB"/>
            </w:rPr>
          </w:pPr>
          <w:r w:rsidRPr="00060E7A">
            <w:rPr>
              <w:lang w:val="en-GB"/>
            </w:rPr>
            <w:t>Indhold</w:t>
          </w:r>
        </w:p>
        <w:p w:rsidR="00D03D04" w:rsidRPr="00060E7A" w:rsidRDefault="00A52C4A">
          <w:pPr>
            <w:pStyle w:val="TOC1"/>
            <w:tabs>
              <w:tab w:val="right" w:leader="dot" w:pos="9628"/>
            </w:tabs>
            <w:rPr>
              <w:noProof/>
              <w:lang w:val="en-GB"/>
            </w:rPr>
          </w:pPr>
          <w:r w:rsidRPr="00060E7A">
            <w:rPr>
              <w:lang w:val="en-GB"/>
            </w:rPr>
            <w:fldChar w:fldCharType="begin"/>
          </w:r>
          <w:r w:rsidR="00086194" w:rsidRPr="00060E7A">
            <w:rPr>
              <w:lang w:val="en-GB"/>
            </w:rPr>
            <w:instrText xml:space="preserve"> TOC \o "1-3" \h \z \u </w:instrText>
          </w:r>
          <w:r w:rsidRPr="00060E7A">
            <w:rPr>
              <w:lang w:val="en-GB"/>
            </w:rPr>
            <w:fldChar w:fldCharType="separate"/>
          </w:r>
          <w:hyperlink w:anchor="_Toc427117805" w:history="1">
            <w:r w:rsidR="00D03D04" w:rsidRPr="00060E7A">
              <w:rPr>
                <w:rStyle w:val="Hyperlink"/>
                <w:noProof/>
                <w:lang w:val="en-GB"/>
              </w:rPr>
              <w:t>Denmark. The Resilience of Welfare State Support</w:t>
            </w:r>
            <w:r w:rsidR="00D03D04" w:rsidRPr="00060E7A">
              <w:rPr>
                <w:noProof/>
                <w:webHidden/>
                <w:lang w:val="en-GB"/>
              </w:rPr>
              <w:tab/>
            </w:r>
            <w:r w:rsidRPr="00060E7A">
              <w:rPr>
                <w:noProof/>
                <w:webHidden/>
                <w:lang w:val="en-GB"/>
              </w:rPr>
              <w:fldChar w:fldCharType="begin"/>
            </w:r>
            <w:r w:rsidR="00D03D04" w:rsidRPr="00060E7A">
              <w:rPr>
                <w:noProof/>
                <w:webHidden/>
                <w:lang w:val="en-GB"/>
              </w:rPr>
              <w:instrText xml:space="preserve"> PAGEREF _Toc427117805 \h </w:instrText>
            </w:r>
            <w:r w:rsidRPr="00060E7A">
              <w:rPr>
                <w:noProof/>
                <w:webHidden/>
                <w:lang w:val="en-GB"/>
              </w:rPr>
            </w:r>
            <w:r w:rsidRPr="00060E7A">
              <w:rPr>
                <w:noProof/>
                <w:webHidden/>
                <w:lang w:val="en-GB"/>
              </w:rPr>
              <w:fldChar w:fldCharType="separate"/>
            </w:r>
            <w:r w:rsidR="00D03D04" w:rsidRPr="00060E7A">
              <w:rPr>
                <w:noProof/>
                <w:webHidden/>
                <w:lang w:val="en-GB"/>
              </w:rPr>
              <w:t>1</w:t>
            </w:r>
            <w:r w:rsidRPr="00060E7A">
              <w:rPr>
                <w:noProof/>
                <w:webHidden/>
                <w:lang w:val="en-GB"/>
              </w:rPr>
              <w:fldChar w:fldCharType="end"/>
            </w:r>
          </w:hyperlink>
        </w:p>
        <w:p w:rsidR="00D03D04" w:rsidRPr="00060E7A" w:rsidRDefault="00B205C1">
          <w:pPr>
            <w:pStyle w:val="TOC1"/>
            <w:tabs>
              <w:tab w:val="right" w:leader="dot" w:pos="9628"/>
            </w:tabs>
            <w:rPr>
              <w:noProof/>
              <w:lang w:val="en-GB"/>
            </w:rPr>
          </w:pPr>
          <w:hyperlink w:anchor="_Toc427117806" w:history="1">
            <w:r w:rsidR="00D03D04" w:rsidRPr="00060E7A">
              <w:rPr>
                <w:rStyle w:val="Hyperlink"/>
                <w:noProof/>
                <w:lang w:val="en-GB"/>
              </w:rPr>
              <w:t>1. Introduction</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_Toc427117806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2</w:t>
            </w:r>
            <w:r w:rsidR="00A52C4A" w:rsidRPr="00060E7A">
              <w:rPr>
                <w:noProof/>
                <w:webHidden/>
                <w:lang w:val="en-GB"/>
              </w:rPr>
              <w:fldChar w:fldCharType="end"/>
            </w:r>
          </w:hyperlink>
        </w:p>
        <w:p w:rsidR="00D03D04" w:rsidRPr="00060E7A" w:rsidRDefault="00B205C1">
          <w:pPr>
            <w:pStyle w:val="TOC1"/>
            <w:tabs>
              <w:tab w:val="right" w:leader="dot" w:pos="9628"/>
            </w:tabs>
            <w:rPr>
              <w:noProof/>
              <w:lang w:val="en-GB"/>
            </w:rPr>
          </w:pPr>
          <w:hyperlink w:anchor="_Toc427117807" w:history="1">
            <w:r w:rsidR="00D03D04" w:rsidRPr="00060E7A">
              <w:rPr>
                <w:rStyle w:val="Hyperlink"/>
                <w:noProof/>
                <w:lang w:val="en-GB"/>
              </w:rPr>
              <w:t>2. Economic, social and political context</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_Toc427117807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3</w:t>
            </w:r>
            <w:r w:rsidR="00A52C4A" w:rsidRPr="00060E7A">
              <w:rPr>
                <w:noProof/>
                <w:webHidden/>
                <w:lang w:val="en-GB"/>
              </w:rPr>
              <w:fldChar w:fldCharType="end"/>
            </w:r>
          </w:hyperlink>
        </w:p>
        <w:p w:rsidR="00D03D04" w:rsidRPr="00060E7A" w:rsidRDefault="00B205C1">
          <w:pPr>
            <w:pStyle w:val="TOC1"/>
            <w:tabs>
              <w:tab w:val="right" w:leader="dot" w:pos="9628"/>
            </w:tabs>
            <w:rPr>
              <w:noProof/>
              <w:lang w:val="en-GB"/>
            </w:rPr>
          </w:pPr>
          <w:hyperlink w:anchor="_Toc427117808" w:history="1">
            <w:r w:rsidR="00D03D04" w:rsidRPr="00060E7A">
              <w:rPr>
                <w:rStyle w:val="Hyperlink"/>
                <w:noProof/>
                <w:lang w:val="en-GB"/>
              </w:rPr>
              <w:t>3. Pre-crisis policies and issues</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_Toc427117808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7</w:t>
            </w:r>
            <w:r w:rsidR="00A52C4A" w:rsidRPr="00060E7A">
              <w:rPr>
                <w:noProof/>
                <w:webHidden/>
                <w:lang w:val="en-GB"/>
              </w:rPr>
              <w:fldChar w:fldCharType="end"/>
            </w:r>
          </w:hyperlink>
        </w:p>
        <w:p w:rsidR="00D03D04" w:rsidRPr="00060E7A" w:rsidRDefault="00B205C1">
          <w:pPr>
            <w:pStyle w:val="TOC1"/>
            <w:tabs>
              <w:tab w:val="right" w:leader="dot" w:pos="9628"/>
            </w:tabs>
            <w:rPr>
              <w:noProof/>
              <w:lang w:val="en-GB"/>
            </w:rPr>
          </w:pPr>
          <w:hyperlink w:anchor="_Toc427117809" w:history="1">
            <w:r w:rsidR="00D03D04" w:rsidRPr="00060E7A">
              <w:rPr>
                <w:rStyle w:val="Hyperlink"/>
                <w:noProof/>
                <w:lang w:val="en-GB"/>
              </w:rPr>
              <w:t>4. The Great Recession: A window of opportunity for structural reforms</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_Toc427117809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9</w:t>
            </w:r>
            <w:r w:rsidR="00A52C4A" w:rsidRPr="00060E7A">
              <w:rPr>
                <w:noProof/>
                <w:webHidden/>
                <w:lang w:val="en-GB"/>
              </w:rPr>
              <w:fldChar w:fldCharType="end"/>
            </w:r>
          </w:hyperlink>
        </w:p>
        <w:p w:rsidR="00D03D04" w:rsidRPr="00060E7A" w:rsidRDefault="00B205C1">
          <w:pPr>
            <w:pStyle w:val="TOC1"/>
            <w:tabs>
              <w:tab w:val="right" w:leader="dot" w:pos="9628"/>
            </w:tabs>
            <w:rPr>
              <w:noProof/>
              <w:lang w:val="en-GB"/>
            </w:rPr>
          </w:pPr>
          <w:hyperlink w:anchor="_Toc427117810" w:history="1">
            <w:r w:rsidR="00D03D04" w:rsidRPr="00060E7A">
              <w:rPr>
                <w:rStyle w:val="Hyperlink"/>
                <w:noProof/>
                <w:lang w:val="en-GB"/>
              </w:rPr>
              <w:t>5. The welfare state strikes back</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_Toc427117810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11</w:t>
            </w:r>
            <w:r w:rsidR="00A52C4A" w:rsidRPr="00060E7A">
              <w:rPr>
                <w:noProof/>
                <w:webHidden/>
                <w:lang w:val="en-GB"/>
              </w:rPr>
              <w:fldChar w:fldCharType="end"/>
            </w:r>
          </w:hyperlink>
        </w:p>
        <w:p w:rsidR="00D03D04" w:rsidRPr="00060E7A" w:rsidRDefault="00B205C1">
          <w:pPr>
            <w:pStyle w:val="TOC3"/>
            <w:tabs>
              <w:tab w:val="right" w:leader="dot" w:pos="9628"/>
            </w:tabs>
            <w:rPr>
              <w:noProof/>
              <w:lang w:val="en-GB"/>
            </w:rPr>
          </w:pPr>
          <w:hyperlink w:anchor="_Toc427117811" w:history="1">
            <w:r w:rsidR="00D03D04" w:rsidRPr="00060E7A">
              <w:rPr>
                <w:rStyle w:val="Hyperlink"/>
                <w:noProof/>
                <w:lang w:val="en-GB"/>
              </w:rPr>
              <w:t>5.1. Distrust and Protest</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_Toc427117811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11</w:t>
            </w:r>
            <w:r w:rsidR="00A52C4A" w:rsidRPr="00060E7A">
              <w:rPr>
                <w:noProof/>
                <w:webHidden/>
                <w:lang w:val="en-GB"/>
              </w:rPr>
              <w:fldChar w:fldCharType="end"/>
            </w:r>
          </w:hyperlink>
        </w:p>
        <w:p w:rsidR="00D03D04" w:rsidRPr="00060E7A" w:rsidRDefault="00B205C1">
          <w:pPr>
            <w:pStyle w:val="TOC3"/>
            <w:tabs>
              <w:tab w:val="right" w:leader="dot" w:pos="9628"/>
            </w:tabs>
            <w:rPr>
              <w:noProof/>
              <w:lang w:val="en-GB"/>
            </w:rPr>
          </w:pPr>
          <w:hyperlink w:anchor="_Toc427117812" w:history="1">
            <w:r w:rsidR="00D03D04" w:rsidRPr="00060E7A">
              <w:rPr>
                <w:rStyle w:val="Hyperlink"/>
                <w:noProof/>
                <w:lang w:val="en-GB"/>
              </w:rPr>
              <w:t>5.2. Support for improved social protection for the unemployed</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_Toc427117812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12</w:t>
            </w:r>
            <w:r w:rsidR="00A52C4A" w:rsidRPr="00060E7A">
              <w:rPr>
                <w:noProof/>
                <w:webHidden/>
                <w:lang w:val="en-GB"/>
              </w:rPr>
              <w:fldChar w:fldCharType="end"/>
            </w:r>
          </w:hyperlink>
        </w:p>
        <w:p w:rsidR="00D03D04" w:rsidRPr="00060E7A" w:rsidRDefault="00B205C1">
          <w:pPr>
            <w:pStyle w:val="TOC3"/>
            <w:tabs>
              <w:tab w:val="right" w:leader="dot" w:pos="9628"/>
            </w:tabs>
            <w:rPr>
              <w:noProof/>
              <w:lang w:val="en-GB"/>
            </w:rPr>
          </w:pPr>
          <w:hyperlink w:anchor="_Toc427117813" w:history="1">
            <w:r w:rsidR="00D03D04" w:rsidRPr="00060E7A">
              <w:rPr>
                <w:rStyle w:val="Hyperlink"/>
                <w:noProof/>
                <w:lang w:val="en-GB"/>
              </w:rPr>
              <w:t>5.3. Declining support for parties endorsing neoliberal reforms</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_Toc427117813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12</w:t>
            </w:r>
            <w:r w:rsidR="00A52C4A" w:rsidRPr="00060E7A">
              <w:rPr>
                <w:noProof/>
                <w:webHidden/>
                <w:lang w:val="en-GB"/>
              </w:rPr>
              <w:fldChar w:fldCharType="end"/>
            </w:r>
          </w:hyperlink>
        </w:p>
        <w:p w:rsidR="00D03D04" w:rsidRPr="00060E7A" w:rsidRDefault="00B205C1">
          <w:pPr>
            <w:pStyle w:val="TOC3"/>
            <w:tabs>
              <w:tab w:val="right" w:leader="dot" w:pos="9628"/>
            </w:tabs>
            <w:rPr>
              <w:noProof/>
              <w:lang w:val="en-GB"/>
            </w:rPr>
          </w:pPr>
          <w:hyperlink w:anchor="_Toc427117814" w:history="1">
            <w:r w:rsidR="00D03D04" w:rsidRPr="00060E7A">
              <w:rPr>
                <w:rStyle w:val="Hyperlink"/>
                <w:noProof/>
                <w:lang w:val="en-GB"/>
              </w:rPr>
              <w:t>5.4. Public attitudes towards welfare in general</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_Toc427117814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13</w:t>
            </w:r>
            <w:r w:rsidR="00A52C4A" w:rsidRPr="00060E7A">
              <w:rPr>
                <w:noProof/>
                <w:webHidden/>
                <w:lang w:val="en-GB"/>
              </w:rPr>
              <w:fldChar w:fldCharType="end"/>
            </w:r>
          </w:hyperlink>
        </w:p>
        <w:p w:rsidR="00D03D04" w:rsidRPr="00060E7A" w:rsidRDefault="00B205C1">
          <w:pPr>
            <w:pStyle w:val="TOC3"/>
            <w:tabs>
              <w:tab w:val="right" w:leader="dot" w:pos="9628"/>
            </w:tabs>
            <w:rPr>
              <w:noProof/>
              <w:lang w:val="en-GB"/>
            </w:rPr>
          </w:pPr>
          <w:hyperlink w:anchor="_Toc427117815" w:history="1">
            <w:r w:rsidR="00D03D04" w:rsidRPr="00060E7A">
              <w:rPr>
                <w:rStyle w:val="Hyperlink"/>
                <w:noProof/>
                <w:lang w:val="en-GB"/>
              </w:rPr>
              <w:t>5.5. Welfare Chauvinism and Blaming the Poor: Attitudes towards specific programmes</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_Toc427117815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16</w:t>
            </w:r>
            <w:r w:rsidR="00A52C4A" w:rsidRPr="00060E7A">
              <w:rPr>
                <w:noProof/>
                <w:webHidden/>
                <w:lang w:val="en-GB"/>
              </w:rPr>
              <w:fldChar w:fldCharType="end"/>
            </w:r>
          </w:hyperlink>
        </w:p>
        <w:p w:rsidR="00D03D04" w:rsidRPr="00060E7A" w:rsidRDefault="00B205C1">
          <w:pPr>
            <w:pStyle w:val="TOC2"/>
            <w:tabs>
              <w:tab w:val="right" w:leader="dot" w:pos="9628"/>
            </w:tabs>
            <w:rPr>
              <w:noProof/>
              <w:lang w:val="en-GB"/>
            </w:rPr>
          </w:pPr>
          <w:hyperlink w:anchor="_Toc427117816" w:history="1">
            <w:r w:rsidR="00D03D04" w:rsidRPr="00060E7A">
              <w:rPr>
                <w:rStyle w:val="Hyperlink"/>
                <w:noProof/>
                <w:lang w:val="en-GB"/>
              </w:rPr>
              <w:t>Reforms</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_Toc427117816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19</w:t>
            </w:r>
            <w:r w:rsidR="00A52C4A" w:rsidRPr="00060E7A">
              <w:rPr>
                <w:noProof/>
                <w:webHidden/>
                <w:lang w:val="en-GB"/>
              </w:rPr>
              <w:fldChar w:fldCharType="end"/>
            </w:r>
          </w:hyperlink>
        </w:p>
        <w:p w:rsidR="00D03D04" w:rsidRPr="00060E7A" w:rsidRDefault="00B205C1">
          <w:pPr>
            <w:pStyle w:val="TOC2"/>
            <w:tabs>
              <w:tab w:val="right" w:leader="dot" w:pos="9628"/>
            </w:tabs>
            <w:rPr>
              <w:noProof/>
              <w:lang w:val="en-GB"/>
            </w:rPr>
          </w:pPr>
          <w:hyperlink w:anchor="_Toc427117817" w:history="1">
            <w:r w:rsidR="00D03D04" w:rsidRPr="00060E7A">
              <w:rPr>
                <w:rStyle w:val="Hyperlink"/>
                <w:noProof/>
                <w:lang w:val="en-GB"/>
              </w:rPr>
              <w:t>Political discourse</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_Toc427117817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19</w:t>
            </w:r>
            <w:r w:rsidR="00A52C4A" w:rsidRPr="00060E7A">
              <w:rPr>
                <w:noProof/>
                <w:webHidden/>
                <w:lang w:val="en-GB"/>
              </w:rPr>
              <w:fldChar w:fldCharType="end"/>
            </w:r>
          </w:hyperlink>
        </w:p>
        <w:p w:rsidR="00D03D04" w:rsidRPr="00060E7A" w:rsidRDefault="00B205C1">
          <w:pPr>
            <w:pStyle w:val="TOC2"/>
            <w:tabs>
              <w:tab w:val="right" w:leader="dot" w:pos="9628"/>
            </w:tabs>
            <w:rPr>
              <w:noProof/>
              <w:lang w:val="en-GB"/>
            </w:rPr>
          </w:pPr>
          <w:hyperlink w:anchor="_Toc427117818" w:history="1">
            <w:r w:rsidR="00D03D04" w:rsidRPr="00060E7A">
              <w:rPr>
                <w:rStyle w:val="Hyperlink"/>
                <w:noProof/>
                <w:lang w:val="en-GB"/>
              </w:rPr>
              <w:t>Future perspectives</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_Toc427117818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20</w:t>
            </w:r>
            <w:r w:rsidR="00A52C4A" w:rsidRPr="00060E7A">
              <w:rPr>
                <w:noProof/>
                <w:webHidden/>
                <w:lang w:val="en-GB"/>
              </w:rPr>
              <w:fldChar w:fldCharType="end"/>
            </w:r>
          </w:hyperlink>
        </w:p>
        <w:p w:rsidR="00D03D04" w:rsidRPr="00060E7A" w:rsidRDefault="00B205C1">
          <w:pPr>
            <w:pStyle w:val="TOC1"/>
            <w:tabs>
              <w:tab w:val="right" w:leader="dot" w:pos="9628"/>
            </w:tabs>
            <w:rPr>
              <w:noProof/>
              <w:lang w:val="en-GB"/>
            </w:rPr>
          </w:pPr>
          <w:hyperlink w:anchor="_Toc427117819" w:history="1">
            <w:r w:rsidR="00D03D04" w:rsidRPr="00060E7A">
              <w:rPr>
                <w:rStyle w:val="Hyperlink"/>
                <w:noProof/>
                <w:lang w:val="en-GB"/>
              </w:rPr>
              <w:t>References</w:t>
            </w:r>
            <w:r w:rsidR="00D03D04" w:rsidRPr="00060E7A">
              <w:rPr>
                <w:noProof/>
                <w:webHidden/>
                <w:lang w:val="en-GB"/>
              </w:rPr>
              <w:tab/>
            </w:r>
            <w:r w:rsidR="00A52C4A" w:rsidRPr="00060E7A">
              <w:rPr>
                <w:noProof/>
                <w:webHidden/>
                <w:lang w:val="en-GB"/>
              </w:rPr>
              <w:fldChar w:fldCharType="begin"/>
            </w:r>
            <w:r w:rsidR="00D03D04" w:rsidRPr="00060E7A">
              <w:rPr>
                <w:noProof/>
                <w:webHidden/>
                <w:lang w:val="en-GB"/>
              </w:rPr>
              <w:instrText xml:space="preserve"> PAGEREF _Toc427117819 \h </w:instrText>
            </w:r>
            <w:r w:rsidR="00A52C4A" w:rsidRPr="00060E7A">
              <w:rPr>
                <w:noProof/>
                <w:webHidden/>
                <w:lang w:val="en-GB"/>
              </w:rPr>
            </w:r>
            <w:r w:rsidR="00A52C4A" w:rsidRPr="00060E7A">
              <w:rPr>
                <w:noProof/>
                <w:webHidden/>
                <w:lang w:val="en-GB"/>
              </w:rPr>
              <w:fldChar w:fldCharType="separate"/>
            </w:r>
            <w:r w:rsidR="00D03D04" w:rsidRPr="00060E7A">
              <w:rPr>
                <w:noProof/>
                <w:webHidden/>
                <w:lang w:val="en-GB"/>
              </w:rPr>
              <w:t>25</w:t>
            </w:r>
            <w:r w:rsidR="00A52C4A" w:rsidRPr="00060E7A">
              <w:rPr>
                <w:noProof/>
                <w:webHidden/>
                <w:lang w:val="en-GB"/>
              </w:rPr>
              <w:fldChar w:fldCharType="end"/>
            </w:r>
          </w:hyperlink>
        </w:p>
        <w:p w:rsidR="00086194" w:rsidRPr="00060E7A" w:rsidRDefault="00A52C4A">
          <w:pPr>
            <w:rPr>
              <w:lang w:val="en-GB"/>
            </w:rPr>
          </w:pPr>
          <w:r w:rsidRPr="00060E7A">
            <w:rPr>
              <w:lang w:val="en-GB"/>
            </w:rPr>
            <w:fldChar w:fldCharType="end"/>
          </w:r>
        </w:p>
      </w:sdtContent>
    </w:sdt>
    <w:p w:rsidR="00F5594A" w:rsidRPr="00060E7A" w:rsidRDefault="00F5594A" w:rsidP="00BA7F2D">
      <w:pPr>
        <w:spacing w:line="240" w:lineRule="auto"/>
        <w:outlineLvl w:val="0"/>
        <w:rPr>
          <w:rFonts w:ascii="Times New Roman" w:hAnsi="Times New Roman" w:cs="Times New Roman"/>
          <w:sz w:val="24"/>
          <w:szCs w:val="24"/>
          <w:lang w:val="en-GB"/>
        </w:rPr>
      </w:pPr>
    </w:p>
    <w:p w:rsidR="00D95423" w:rsidRPr="00060E7A" w:rsidRDefault="00D95423">
      <w:pPr>
        <w:rPr>
          <w:rFonts w:asciiTheme="majorHAnsi" w:eastAsiaTheme="majorEastAsia" w:hAnsiTheme="majorHAnsi" w:cstheme="majorBidi"/>
          <w:b/>
          <w:bCs/>
          <w:color w:val="365F91" w:themeColor="accent1" w:themeShade="BF"/>
          <w:sz w:val="28"/>
          <w:szCs w:val="24"/>
          <w:lang w:val="en-GB" w:eastAsia="da-DK"/>
        </w:rPr>
      </w:pPr>
      <w:r w:rsidRPr="00060E7A">
        <w:rPr>
          <w:szCs w:val="24"/>
          <w:lang w:val="en-GB"/>
        </w:rPr>
        <w:br w:type="page"/>
      </w:r>
    </w:p>
    <w:p w:rsidR="00F5594A" w:rsidRPr="00060E7A" w:rsidRDefault="00CD1792" w:rsidP="00086194">
      <w:pPr>
        <w:pStyle w:val="Heading1"/>
        <w:rPr>
          <w:szCs w:val="24"/>
          <w:lang w:val="en-GB"/>
        </w:rPr>
      </w:pPr>
      <w:bookmarkStart w:id="2" w:name="_Toc427117806"/>
      <w:r w:rsidRPr="00060E7A">
        <w:rPr>
          <w:szCs w:val="24"/>
          <w:lang w:val="en-GB"/>
        </w:rPr>
        <w:lastRenderedPageBreak/>
        <w:t xml:space="preserve">1. </w:t>
      </w:r>
      <w:r w:rsidR="005541D4" w:rsidRPr="00060E7A">
        <w:rPr>
          <w:szCs w:val="24"/>
          <w:lang w:val="en-GB"/>
        </w:rPr>
        <w:t>Introdu</w:t>
      </w:r>
      <w:r w:rsidR="00F5594A" w:rsidRPr="00060E7A">
        <w:rPr>
          <w:szCs w:val="24"/>
          <w:lang w:val="en-GB"/>
        </w:rPr>
        <w:t>ction</w:t>
      </w:r>
      <w:bookmarkEnd w:id="2"/>
    </w:p>
    <w:p w:rsidR="00C25B94" w:rsidRPr="00060E7A" w:rsidRDefault="00060E7A" w:rsidP="00D5750A">
      <w:pPr>
        <w:rPr>
          <w:rFonts w:ascii="Times New Roman" w:hAnsi="Times New Roman" w:cs="Times New Roman"/>
          <w:sz w:val="24"/>
          <w:szCs w:val="24"/>
          <w:lang w:val="en-GB"/>
        </w:rPr>
      </w:pPr>
      <w:r w:rsidRPr="00060E7A">
        <w:rPr>
          <w:rFonts w:ascii="Times New Roman" w:hAnsi="Times New Roman" w:cs="Times New Roman"/>
          <w:sz w:val="24"/>
          <w:szCs w:val="24"/>
          <w:lang w:val="en-GB"/>
        </w:rPr>
        <w:t>M</w:t>
      </w:r>
      <w:r w:rsidR="00BA7F2D" w:rsidRPr="00060E7A">
        <w:rPr>
          <w:rFonts w:ascii="Times New Roman" w:hAnsi="Times New Roman" w:cs="Times New Roman"/>
          <w:sz w:val="24"/>
          <w:szCs w:val="24"/>
          <w:lang w:val="en-GB"/>
        </w:rPr>
        <w:t xml:space="preserve">easured by </w:t>
      </w:r>
      <w:r w:rsidR="001D66E6" w:rsidRPr="00060E7A">
        <w:rPr>
          <w:rFonts w:ascii="Times New Roman" w:hAnsi="Times New Roman" w:cs="Times New Roman"/>
          <w:sz w:val="24"/>
          <w:szCs w:val="24"/>
          <w:lang w:val="en-GB"/>
        </w:rPr>
        <w:t>government revenues</w:t>
      </w:r>
      <w:r w:rsidRPr="00060E7A">
        <w:rPr>
          <w:rFonts w:ascii="Times New Roman" w:hAnsi="Times New Roman" w:cs="Times New Roman"/>
          <w:sz w:val="24"/>
          <w:szCs w:val="24"/>
          <w:lang w:val="en-GB"/>
        </w:rPr>
        <w:t xml:space="preserve"> in</w:t>
      </w:r>
      <w:r w:rsidR="00BA7F2D" w:rsidRPr="00060E7A">
        <w:rPr>
          <w:rFonts w:ascii="Times New Roman" w:hAnsi="Times New Roman" w:cs="Times New Roman"/>
          <w:sz w:val="24"/>
          <w:szCs w:val="24"/>
          <w:lang w:val="en-GB"/>
        </w:rPr>
        <w:t xml:space="preserve"> percentage of GDP, Denmark </w:t>
      </w:r>
      <w:r>
        <w:rPr>
          <w:rFonts w:ascii="Times New Roman" w:hAnsi="Times New Roman" w:cs="Times New Roman"/>
          <w:sz w:val="24"/>
          <w:szCs w:val="24"/>
          <w:lang w:val="en-GB"/>
        </w:rPr>
        <w:t>took over</w:t>
      </w:r>
      <w:r w:rsidR="00D638F0" w:rsidRPr="00060E7A">
        <w:rPr>
          <w:rFonts w:ascii="Times New Roman" w:hAnsi="Times New Roman" w:cs="Times New Roman"/>
          <w:sz w:val="24"/>
          <w:szCs w:val="24"/>
          <w:lang w:val="en-GB"/>
        </w:rPr>
        <w:t xml:space="preserve"> </w:t>
      </w:r>
      <w:r>
        <w:rPr>
          <w:rFonts w:ascii="Times New Roman" w:hAnsi="Times New Roman" w:cs="Times New Roman"/>
          <w:sz w:val="24"/>
          <w:szCs w:val="24"/>
          <w:lang w:val="en-GB"/>
        </w:rPr>
        <w:t>lead</w:t>
      </w:r>
      <w:r w:rsidR="00BA7F2D" w:rsidRPr="00060E7A">
        <w:rPr>
          <w:rFonts w:ascii="Times New Roman" w:hAnsi="Times New Roman" w:cs="Times New Roman"/>
          <w:sz w:val="24"/>
          <w:szCs w:val="24"/>
          <w:lang w:val="en-GB"/>
        </w:rPr>
        <w:t xml:space="preserve"> position</w:t>
      </w:r>
      <w:r w:rsidR="00876C9E" w:rsidRPr="00060E7A">
        <w:rPr>
          <w:rFonts w:ascii="Times New Roman" w:hAnsi="Times New Roman" w:cs="Times New Roman"/>
          <w:sz w:val="24"/>
          <w:szCs w:val="24"/>
          <w:lang w:val="en-GB"/>
        </w:rPr>
        <w:t xml:space="preserve"> in the OECD </w:t>
      </w:r>
      <w:r w:rsidR="00DE1CE0" w:rsidRPr="00060E7A">
        <w:rPr>
          <w:rFonts w:ascii="Times New Roman" w:hAnsi="Times New Roman" w:cs="Times New Roman"/>
          <w:sz w:val="24"/>
          <w:szCs w:val="24"/>
          <w:lang w:val="en-GB"/>
        </w:rPr>
        <w:t xml:space="preserve">from </w:t>
      </w:r>
      <w:r w:rsidR="00D638F0" w:rsidRPr="00060E7A">
        <w:rPr>
          <w:rFonts w:ascii="Times New Roman" w:hAnsi="Times New Roman" w:cs="Times New Roman"/>
          <w:sz w:val="24"/>
          <w:szCs w:val="24"/>
          <w:lang w:val="en-GB"/>
        </w:rPr>
        <w:t xml:space="preserve">Sweden by </w:t>
      </w:r>
      <w:r w:rsidR="00DE1CE0" w:rsidRPr="00060E7A">
        <w:rPr>
          <w:rFonts w:ascii="Times New Roman" w:hAnsi="Times New Roman" w:cs="Times New Roman"/>
          <w:sz w:val="24"/>
          <w:szCs w:val="24"/>
          <w:lang w:val="en-GB"/>
        </w:rPr>
        <w:t>2002.</w:t>
      </w:r>
      <w:r w:rsidR="00D5750A" w:rsidRPr="00060E7A">
        <w:rPr>
          <w:rStyle w:val="FootnoteReference"/>
          <w:rFonts w:ascii="Times New Roman" w:hAnsi="Times New Roman" w:cs="Times New Roman"/>
          <w:sz w:val="24"/>
          <w:szCs w:val="24"/>
          <w:lang w:val="en-GB"/>
        </w:rPr>
        <w:footnoteReference w:id="1"/>
      </w:r>
      <w:r w:rsidR="00DE1CE0" w:rsidRPr="00060E7A">
        <w:rPr>
          <w:rFonts w:ascii="Times New Roman" w:hAnsi="Times New Roman" w:cs="Times New Roman"/>
          <w:sz w:val="24"/>
          <w:szCs w:val="24"/>
          <w:lang w:val="en-GB"/>
        </w:rPr>
        <w:t xml:space="preserve"> D</w:t>
      </w:r>
      <w:r w:rsidR="00876C9E" w:rsidRPr="00060E7A">
        <w:rPr>
          <w:rFonts w:ascii="Times New Roman" w:hAnsi="Times New Roman" w:cs="Times New Roman"/>
          <w:sz w:val="24"/>
          <w:szCs w:val="24"/>
          <w:lang w:val="en-GB"/>
        </w:rPr>
        <w:t>uring the great recession</w:t>
      </w:r>
      <w:r w:rsidR="00DE1CE0" w:rsidRPr="00060E7A">
        <w:rPr>
          <w:rFonts w:ascii="Times New Roman" w:hAnsi="Times New Roman" w:cs="Times New Roman"/>
          <w:sz w:val="24"/>
          <w:szCs w:val="24"/>
          <w:lang w:val="en-GB"/>
        </w:rPr>
        <w:t xml:space="preserve">, the </w:t>
      </w:r>
      <w:r w:rsidR="00222238" w:rsidRPr="00060E7A">
        <w:rPr>
          <w:rFonts w:ascii="Times New Roman" w:hAnsi="Times New Roman" w:cs="Times New Roman"/>
          <w:sz w:val="24"/>
          <w:szCs w:val="24"/>
          <w:lang w:val="en-GB"/>
        </w:rPr>
        <w:t xml:space="preserve">gap between Denmark and Sweden </w:t>
      </w:r>
      <w:r>
        <w:rPr>
          <w:rFonts w:ascii="Times New Roman" w:hAnsi="Times New Roman" w:cs="Times New Roman"/>
          <w:sz w:val="24"/>
          <w:szCs w:val="24"/>
          <w:lang w:val="en-GB"/>
        </w:rPr>
        <w:t>even</w:t>
      </w:r>
      <w:r w:rsidR="00646B0D" w:rsidRPr="00060E7A">
        <w:rPr>
          <w:rFonts w:ascii="Times New Roman" w:hAnsi="Times New Roman" w:cs="Times New Roman"/>
          <w:sz w:val="24"/>
          <w:szCs w:val="24"/>
          <w:lang w:val="en-GB"/>
        </w:rPr>
        <w:t xml:space="preserve"> </w:t>
      </w:r>
      <w:r w:rsidR="00DE1CE0" w:rsidRPr="00060E7A">
        <w:rPr>
          <w:rFonts w:ascii="Times New Roman" w:hAnsi="Times New Roman" w:cs="Times New Roman"/>
          <w:sz w:val="24"/>
          <w:szCs w:val="24"/>
          <w:lang w:val="en-GB"/>
        </w:rPr>
        <w:t>became quite substantial</w:t>
      </w:r>
      <w:r w:rsidR="00222238" w:rsidRPr="00060E7A">
        <w:rPr>
          <w:rFonts w:ascii="Times New Roman" w:hAnsi="Times New Roman" w:cs="Times New Roman"/>
          <w:sz w:val="24"/>
          <w:szCs w:val="24"/>
          <w:lang w:val="en-GB"/>
        </w:rPr>
        <w:t xml:space="preserve">. Total </w:t>
      </w:r>
      <w:r w:rsidR="003C7D79" w:rsidRPr="00060E7A">
        <w:rPr>
          <w:rFonts w:ascii="Times New Roman" w:hAnsi="Times New Roman" w:cs="Times New Roman"/>
          <w:sz w:val="24"/>
          <w:szCs w:val="24"/>
          <w:lang w:val="en-GB"/>
        </w:rPr>
        <w:t xml:space="preserve">tax receipt </w:t>
      </w:r>
      <w:r w:rsidR="00222238" w:rsidRPr="00060E7A">
        <w:rPr>
          <w:rFonts w:ascii="Times New Roman" w:hAnsi="Times New Roman" w:cs="Times New Roman"/>
          <w:sz w:val="24"/>
          <w:szCs w:val="24"/>
          <w:lang w:val="en-GB"/>
        </w:rPr>
        <w:t xml:space="preserve">in Denmark </w:t>
      </w:r>
      <w:r w:rsidR="00DE1CE0" w:rsidRPr="00060E7A">
        <w:rPr>
          <w:rFonts w:ascii="Times New Roman" w:hAnsi="Times New Roman" w:cs="Times New Roman"/>
          <w:sz w:val="24"/>
          <w:szCs w:val="24"/>
          <w:lang w:val="en-GB"/>
        </w:rPr>
        <w:t>peak</w:t>
      </w:r>
      <w:r w:rsidR="00222238" w:rsidRPr="00060E7A">
        <w:rPr>
          <w:rFonts w:ascii="Times New Roman" w:hAnsi="Times New Roman" w:cs="Times New Roman"/>
          <w:sz w:val="24"/>
          <w:szCs w:val="24"/>
          <w:lang w:val="en-GB"/>
        </w:rPr>
        <w:t>ed</w:t>
      </w:r>
      <w:r w:rsidR="00DE1CE0" w:rsidRPr="00060E7A">
        <w:rPr>
          <w:rFonts w:ascii="Times New Roman" w:hAnsi="Times New Roman" w:cs="Times New Roman"/>
          <w:sz w:val="24"/>
          <w:szCs w:val="24"/>
          <w:lang w:val="en-GB"/>
        </w:rPr>
        <w:t xml:space="preserve"> at 58.5 per cen</w:t>
      </w:r>
      <w:r>
        <w:rPr>
          <w:rFonts w:ascii="Times New Roman" w:hAnsi="Times New Roman" w:cs="Times New Roman"/>
          <w:sz w:val="24"/>
          <w:szCs w:val="24"/>
          <w:lang w:val="en-GB"/>
        </w:rPr>
        <w:t>t of GDP in Denmark by 2014 while</w:t>
      </w:r>
      <w:r w:rsidR="00DE1CE0" w:rsidRPr="00060E7A">
        <w:rPr>
          <w:rFonts w:ascii="Times New Roman" w:hAnsi="Times New Roman" w:cs="Times New Roman"/>
          <w:sz w:val="24"/>
          <w:szCs w:val="24"/>
          <w:lang w:val="en-GB"/>
        </w:rPr>
        <w:t xml:space="preserve"> the corresponding figure in Sweden was </w:t>
      </w:r>
      <w:r w:rsidR="005541D4" w:rsidRPr="00060E7A">
        <w:rPr>
          <w:rFonts w:ascii="Times New Roman" w:hAnsi="Times New Roman" w:cs="Times New Roman"/>
          <w:sz w:val="24"/>
          <w:szCs w:val="24"/>
          <w:lang w:val="en-GB"/>
        </w:rPr>
        <w:t xml:space="preserve">only </w:t>
      </w:r>
      <w:r w:rsidR="00DE1CE0" w:rsidRPr="00060E7A">
        <w:rPr>
          <w:rFonts w:ascii="Times New Roman" w:hAnsi="Times New Roman" w:cs="Times New Roman"/>
          <w:sz w:val="24"/>
          <w:szCs w:val="24"/>
          <w:lang w:val="en-GB"/>
        </w:rPr>
        <w:t>51.0 per cent</w:t>
      </w:r>
      <w:r w:rsidR="00A22A9C" w:rsidRPr="00060E7A">
        <w:rPr>
          <w:rFonts w:ascii="Times New Roman" w:hAnsi="Times New Roman" w:cs="Times New Roman"/>
          <w:sz w:val="24"/>
          <w:szCs w:val="24"/>
          <w:lang w:val="en-GB"/>
        </w:rPr>
        <w:t xml:space="preserve"> (see Figure 1)</w:t>
      </w:r>
      <w:r w:rsidR="00DE1CE0" w:rsidRPr="00060E7A">
        <w:rPr>
          <w:rFonts w:ascii="Times New Roman" w:hAnsi="Times New Roman" w:cs="Times New Roman"/>
          <w:sz w:val="24"/>
          <w:szCs w:val="24"/>
          <w:lang w:val="en-GB"/>
        </w:rPr>
        <w:t xml:space="preserve">. </w:t>
      </w:r>
      <w:r>
        <w:rPr>
          <w:rFonts w:ascii="Times New Roman" w:hAnsi="Times New Roman" w:cs="Times New Roman"/>
          <w:sz w:val="24"/>
          <w:szCs w:val="24"/>
          <w:lang w:val="en-GB"/>
        </w:rPr>
        <w:t>While</w:t>
      </w:r>
      <w:r w:rsidR="00CF1CB1" w:rsidRPr="00060E7A">
        <w:rPr>
          <w:rFonts w:ascii="Times New Roman" w:hAnsi="Times New Roman" w:cs="Times New Roman"/>
          <w:sz w:val="24"/>
          <w:szCs w:val="24"/>
          <w:lang w:val="en-GB"/>
        </w:rPr>
        <w:t xml:space="preserve"> </w:t>
      </w:r>
      <w:r w:rsidR="00D5750A" w:rsidRPr="00060E7A">
        <w:rPr>
          <w:rFonts w:ascii="Times New Roman" w:hAnsi="Times New Roman" w:cs="Times New Roman"/>
          <w:sz w:val="24"/>
          <w:szCs w:val="24"/>
          <w:lang w:val="en-GB"/>
        </w:rPr>
        <w:t xml:space="preserve">comparative revenue or expenditure </w:t>
      </w:r>
      <w:r w:rsidR="00A33DA0" w:rsidRPr="00060E7A">
        <w:rPr>
          <w:rFonts w:ascii="Times New Roman" w:hAnsi="Times New Roman" w:cs="Times New Roman"/>
          <w:sz w:val="24"/>
          <w:szCs w:val="24"/>
          <w:lang w:val="en-GB"/>
        </w:rPr>
        <w:t xml:space="preserve">figures should be read with </w:t>
      </w:r>
      <w:r w:rsidR="00D5750A" w:rsidRPr="00060E7A">
        <w:rPr>
          <w:rFonts w:ascii="Times New Roman" w:hAnsi="Times New Roman" w:cs="Times New Roman"/>
          <w:sz w:val="24"/>
          <w:szCs w:val="24"/>
          <w:lang w:val="en-GB"/>
        </w:rPr>
        <w:t xml:space="preserve">great </w:t>
      </w:r>
      <w:r w:rsidR="00A33DA0" w:rsidRPr="00060E7A">
        <w:rPr>
          <w:rFonts w:ascii="Times New Roman" w:hAnsi="Times New Roman" w:cs="Times New Roman"/>
          <w:sz w:val="24"/>
          <w:szCs w:val="24"/>
          <w:lang w:val="en-GB"/>
        </w:rPr>
        <w:t>reservations</w:t>
      </w:r>
      <w:r w:rsidR="00CF1CB1" w:rsidRPr="00060E7A">
        <w:rPr>
          <w:rStyle w:val="FootnoteReference"/>
          <w:rFonts w:ascii="Times New Roman" w:hAnsi="Times New Roman" w:cs="Times New Roman"/>
          <w:bCs/>
          <w:sz w:val="24"/>
          <w:szCs w:val="24"/>
          <w:lang w:val="en-GB"/>
        </w:rPr>
        <w:footnoteReference w:id="2"/>
      </w:r>
      <w:r>
        <w:rPr>
          <w:rFonts w:ascii="Times New Roman" w:hAnsi="Times New Roman" w:cs="Times New Roman"/>
          <w:sz w:val="24"/>
          <w:szCs w:val="24"/>
          <w:lang w:val="en-GB"/>
        </w:rPr>
        <w:t>,</w:t>
      </w:r>
      <w:r w:rsidR="00A33DA0" w:rsidRPr="00060E7A">
        <w:rPr>
          <w:rFonts w:ascii="Times New Roman" w:hAnsi="Times New Roman" w:cs="Times New Roman"/>
          <w:sz w:val="24"/>
          <w:szCs w:val="24"/>
          <w:lang w:val="en-GB"/>
        </w:rPr>
        <w:t xml:space="preserve"> in </w:t>
      </w:r>
      <w:r w:rsidR="00D5750A" w:rsidRPr="00060E7A">
        <w:rPr>
          <w:rFonts w:ascii="Times New Roman" w:hAnsi="Times New Roman" w:cs="Times New Roman"/>
          <w:sz w:val="24"/>
          <w:szCs w:val="24"/>
          <w:lang w:val="en-GB"/>
        </w:rPr>
        <w:t xml:space="preserve">Danish </w:t>
      </w:r>
      <w:r w:rsidR="00A33DA0" w:rsidRPr="00060E7A">
        <w:rPr>
          <w:rFonts w:ascii="Times New Roman" w:hAnsi="Times New Roman" w:cs="Times New Roman"/>
          <w:sz w:val="24"/>
          <w:szCs w:val="24"/>
          <w:lang w:val="en-GB"/>
        </w:rPr>
        <w:t xml:space="preserve">public debates </w:t>
      </w:r>
      <w:r w:rsidR="00D5750A" w:rsidRPr="00060E7A">
        <w:rPr>
          <w:rFonts w:ascii="Times New Roman" w:hAnsi="Times New Roman" w:cs="Times New Roman"/>
          <w:sz w:val="24"/>
          <w:szCs w:val="24"/>
          <w:lang w:val="en-GB"/>
        </w:rPr>
        <w:t>they</w:t>
      </w:r>
      <w:r w:rsidR="00A33DA0" w:rsidRPr="00060E7A">
        <w:rPr>
          <w:rFonts w:ascii="Times New Roman" w:hAnsi="Times New Roman" w:cs="Times New Roman"/>
          <w:sz w:val="24"/>
          <w:szCs w:val="24"/>
          <w:lang w:val="en-GB"/>
        </w:rPr>
        <w:t xml:space="preserve"> were largely taken at face value. </w:t>
      </w:r>
      <w:r w:rsidR="00C82052" w:rsidRPr="00060E7A">
        <w:rPr>
          <w:rFonts w:ascii="Times New Roman" w:hAnsi="Times New Roman" w:cs="Times New Roman"/>
          <w:sz w:val="24"/>
          <w:szCs w:val="24"/>
          <w:lang w:val="en-GB"/>
        </w:rPr>
        <w:t>Still</w:t>
      </w:r>
      <w:r w:rsidR="00CF1CB1" w:rsidRPr="00060E7A">
        <w:rPr>
          <w:rFonts w:ascii="Times New Roman" w:hAnsi="Times New Roman" w:cs="Times New Roman"/>
          <w:sz w:val="24"/>
          <w:szCs w:val="24"/>
          <w:lang w:val="en-GB"/>
        </w:rPr>
        <w:t xml:space="preserve">, the exceptionally high taxes and public expenditures </w:t>
      </w:r>
      <w:r w:rsidR="00C82052" w:rsidRPr="00060E7A">
        <w:rPr>
          <w:rFonts w:ascii="Times New Roman" w:hAnsi="Times New Roman" w:cs="Times New Roman"/>
          <w:sz w:val="24"/>
          <w:szCs w:val="24"/>
          <w:lang w:val="en-GB"/>
        </w:rPr>
        <w:t xml:space="preserve">did </w:t>
      </w:r>
      <w:r w:rsidR="00C82052" w:rsidRPr="00060E7A">
        <w:rPr>
          <w:rFonts w:ascii="Times New Roman" w:hAnsi="Times New Roman" w:cs="Times New Roman"/>
          <w:i/>
          <w:iCs/>
          <w:sz w:val="24"/>
          <w:szCs w:val="24"/>
          <w:lang w:val="en-GB"/>
        </w:rPr>
        <w:t xml:space="preserve">not </w:t>
      </w:r>
      <w:r w:rsidR="005541D4" w:rsidRPr="00060E7A">
        <w:rPr>
          <w:rFonts w:ascii="Times New Roman" w:hAnsi="Times New Roman" w:cs="Times New Roman"/>
          <w:sz w:val="24"/>
          <w:szCs w:val="24"/>
          <w:lang w:val="en-GB"/>
        </w:rPr>
        <w:t xml:space="preserve">spark off </w:t>
      </w:r>
      <w:r w:rsidR="00C82052" w:rsidRPr="00060E7A">
        <w:rPr>
          <w:rFonts w:ascii="Times New Roman" w:hAnsi="Times New Roman" w:cs="Times New Roman"/>
          <w:sz w:val="24"/>
          <w:szCs w:val="24"/>
          <w:lang w:val="en-GB"/>
        </w:rPr>
        <w:t xml:space="preserve">any </w:t>
      </w:r>
      <w:r w:rsidR="005541D4" w:rsidRPr="00060E7A">
        <w:rPr>
          <w:rFonts w:ascii="Times New Roman" w:hAnsi="Times New Roman" w:cs="Times New Roman"/>
          <w:sz w:val="24"/>
          <w:szCs w:val="24"/>
          <w:lang w:val="en-GB"/>
        </w:rPr>
        <w:t xml:space="preserve">widespread voter </w:t>
      </w:r>
      <w:r w:rsidR="00BA7F2D" w:rsidRPr="00060E7A">
        <w:rPr>
          <w:rFonts w:ascii="Times New Roman" w:hAnsi="Times New Roman" w:cs="Times New Roman"/>
          <w:sz w:val="24"/>
          <w:szCs w:val="24"/>
          <w:lang w:val="en-GB"/>
        </w:rPr>
        <w:t>dissatisfaction with taxes</w:t>
      </w:r>
      <w:r w:rsidR="005541D4" w:rsidRPr="00060E7A">
        <w:rPr>
          <w:rFonts w:ascii="Times New Roman" w:hAnsi="Times New Roman" w:cs="Times New Roman"/>
          <w:sz w:val="24"/>
          <w:szCs w:val="24"/>
          <w:lang w:val="en-GB"/>
        </w:rPr>
        <w:t xml:space="preserve">, and even less with welfare spending. </w:t>
      </w:r>
      <w:r w:rsidR="001D66E6" w:rsidRPr="00060E7A">
        <w:rPr>
          <w:rFonts w:ascii="Times New Roman" w:hAnsi="Times New Roman" w:cs="Times New Roman"/>
          <w:sz w:val="24"/>
          <w:szCs w:val="24"/>
          <w:lang w:val="en-GB"/>
        </w:rPr>
        <w:t xml:space="preserve">Since a </w:t>
      </w:r>
      <w:r w:rsidR="00D95423" w:rsidRPr="00060E7A">
        <w:rPr>
          <w:rFonts w:ascii="Times New Roman" w:hAnsi="Times New Roman" w:cs="Times New Roman"/>
          <w:sz w:val="24"/>
          <w:szCs w:val="24"/>
          <w:lang w:val="en-GB"/>
        </w:rPr>
        <w:t xml:space="preserve">fierce, but short-lived </w:t>
      </w:r>
      <w:r w:rsidR="001D66E6" w:rsidRPr="00060E7A">
        <w:rPr>
          <w:rFonts w:ascii="Times New Roman" w:hAnsi="Times New Roman" w:cs="Times New Roman"/>
          <w:sz w:val="24"/>
          <w:szCs w:val="24"/>
          <w:lang w:val="en-GB"/>
        </w:rPr>
        <w:t xml:space="preserve">outbreak of tax protest in 1973, </w:t>
      </w:r>
      <w:r w:rsidR="005541D4" w:rsidRPr="00060E7A">
        <w:rPr>
          <w:rFonts w:ascii="Times New Roman" w:hAnsi="Times New Roman" w:cs="Times New Roman"/>
          <w:sz w:val="24"/>
          <w:szCs w:val="24"/>
          <w:lang w:val="en-GB"/>
        </w:rPr>
        <w:t>political</w:t>
      </w:r>
      <w:r w:rsidR="00BA7F2D" w:rsidRPr="00060E7A">
        <w:rPr>
          <w:rFonts w:ascii="Times New Roman" w:hAnsi="Times New Roman" w:cs="Times New Roman"/>
          <w:sz w:val="24"/>
          <w:szCs w:val="24"/>
          <w:lang w:val="en-GB"/>
        </w:rPr>
        <w:t xml:space="preserve"> promises of tax relief </w:t>
      </w:r>
      <w:r w:rsidR="00C82052" w:rsidRPr="00060E7A">
        <w:rPr>
          <w:rFonts w:ascii="Times New Roman" w:hAnsi="Times New Roman" w:cs="Times New Roman"/>
          <w:sz w:val="24"/>
          <w:szCs w:val="24"/>
          <w:lang w:val="en-GB"/>
        </w:rPr>
        <w:t xml:space="preserve">in Denmark </w:t>
      </w:r>
      <w:r w:rsidR="001900CE" w:rsidRPr="00060E7A">
        <w:rPr>
          <w:rFonts w:ascii="Times New Roman" w:hAnsi="Times New Roman" w:cs="Times New Roman"/>
          <w:sz w:val="24"/>
          <w:szCs w:val="24"/>
          <w:lang w:val="en-GB"/>
        </w:rPr>
        <w:t xml:space="preserve">have </w:t>
      </w:r>
      <w:r w:rsidR="005541D4" w:rsidRPr="00060E7A">
        <w:rPr>
          <w:rFonts w:ascii="Times New Roman" w:hAnsi="Times New Roman" w:cs="Times New Roman"/>
          <w:sz w:val="24"/>
          <w:szCs w:val="24"/>
          <w:lang w:val="en-GB"/>
        </w:rPr>
        <w:t xml:space="preserve">mainly </w:t>
      </w:r>
      <w:r w:rsidR="00BA7F2D" w:rsidRPr="00060E7A">
        <w:rPr>
          <w:rFonts w:ascii="Times New Roman" w:hAnsi="Times New Roman" w:cs="Times New Roman"/>
          <w:sz w:val="24"/>
          <w:szCs w:val="24"/>
          <w:lang w:val="en-GB"/>
        </w:rPr>
        <w:t>ha</w:t>
      </w:r>
      <w:r w:rsidR="001900CE" w:rsidRPr="00060E7A">
        <w:rPr>
          <w:rFonts w:ascii="Times New Roman" w:hAnsi="Times New Roman" w:cs="Times New Roman"/>
          <w:sz w:val="24"/>
          <w:szCs w:val="24"/>
          <w:lang w:val="en-GB"/>
        </w:rPr>
        <w:t>d</w:t>
      </w:r>
      <w:r w:rsidR="00BA7F2D" w:rsidRPr="00060E7A">
        <w:rPr>
          <w:rFonts w:ascii="Times New Roman" w:hAnsi="Times New Roman" w:cs="Times New Roman"/>
          <w:sz w:val="24"/>
          <w:szCs w:val="24"/>
          <w:lang w:val="en-GB"/>
        </w:rPr>
        <w:t xml:space="preserve"> to be justified by </w:t>
      </w:r>
      <w:r w:rsidR="005541D4" w:rsidRPr="00060E7A">
        <w:rPr>
          <w:rFonts w:ascii="Times New Roman" w:hAnsi="Times New Roman" w:cs="Times New Roman"/>
          <w:sz w:val="24"/>
          <w:szCs w:val="24"/>
          <w:lang w:val="en-GB"/>
        </w:rPr>
        <w:t xml:space="preserve">arguments about </w:t>
      </w:r>
      <w:r w:rsidR="00BA7F2D" w:rsidRPr="00060E7A">
        <w:rPr>
          <w:rFonts w:ascii="Times New Roman" w:hAnsi="Times New Roman" w:cs="Times New Roman"/>
          <w:sz w:val="24"/>
          <w:szCs w:val="24"/>
          <w:lang w:val="en-GB"/>
        </w:rPr>
        <w:t>potential impact on economic growth</w:t>
      </w:r>
      <w:r w:rsidR="00D5750A" w:rsidRPr="00060E7A">
        <w:rPr>
          <w:rFonts w:ascii="Times New Roman" w:hAnsi="Times New Roman" w:cs="Times New Roman"/>
          <w:sz w:val="24"/>
          <w:szCs w:val="24"/>
          <w:lang w:val="en-GB"/>
        </w:rPr>
        <w:t xml:space="preserve">, rather than appeals to </w:t>
      </w:r>
      <w:r w:rsidR="00D638F0" w:rsidRPr="00060E7A">
        <w:rPr>
          <w:rFonts w:ascii="Times New Roman" w:hAnsi="Times New Roman" w:cs="Times New Roman"/>
          <w:sz w:val="24"/>
          <w:szCs w:val="24"/>
          <w:lang w:val="en-GB"/>
        </w:rPr>
        <w:t>voters’ self-interests</w:t>
      </w:r>
      <w:r w:rsidR="00D5750A" w:rsidRPr="00060E7A">
        <w:rPr>
          <w:rFonts w:ascii="Times New Roman" w:hAnsi="Times New Roman" w:cs="Times New Roman"/>
          <w:sz w:val="24"/>
          <w:szCs w:val="24"/>
          <w:lang w:val="en-GB"/>
        </w:rPr>
        <w:t xml:space="preserve"> </w:t>
      </w:r>
      <w:r w:rsidR="00D638F0" w:rsidRPr="00060E7A">
        <w:rPr>
          <w:rFonts w:ascii="Times New Roman" w:hAnsi="Times New Roman" w:cs="Times New Roman"/>
          <w:sz w:val="24"/>
          <w:szCs w:val="24"/>
          <w:lang w:val="en-GB"/>
        </w:rPr>
        <w:t xml:space="preserve">in </w:t>
      </w:r>
      <w:r w:rsidR="00C25B94" w:rsidRPr="00060E7A">
        <w:rPr>
          <w:rFonts w:ascii="Times New Roman" w:hAnsi="Times New Roman" w:cs="Times New Roman"/>
          <w:sz w:val="24"/>
          <w:szCs w:val="24"/>
          <w:lang w:val="en-GB"/>
        </w:rPr>
        <w:t>lower taxes.</w:t>
      </w:r>
    </w:p>
    <w:p w:rsidR="00C25B94" w:rsidRPr="00060E7A" w:rsidRDefault="00C25B94" w:rsidP="00D638F0">
      <w:pPr>
        <w:rPr>
          <w:rFonts w:ascii="Times New Roman" w:hAnsi="Times New Roman" w:cs="Times New Roman"/>
          <w:sz w:val="24"/>
          <w:szCs w:val="24"/>
          <w:lang w:val="en-GB"/>
        </w:rPr>
      </w:pPr>
      <w:r w:rsidRPr="00060E7A">
        <w:rPr>
          <w:rFonts w:ascii="Times New Roman" w:hAnsi="Times New Roman" w:cs="Times New Roman"/>
          <w:sz w:val="24"/>
          <w:szCs w:val="24"/>
          <w:lang w:val="en-GB"/>
        </w:rPr>
        <w:t>It should not be forgotten, however, that support for the welfare state is always contingent (Rothstein, 1998; Svallfors, 1989; Goul Andersen, 2008). In addition to being contingent on fair and transparent allocation of tax</w:t>
      </w:r>
      <w:r w:rsidR="00D638F0" w:rsidRPr="00060E7A">
        <w:rPr>
          <w:rFonts w:ascii="Times New Roman" w:hAnsi="Times New Roman" w:cs="Times New Roman"/>
          <w:sz w:val="24"/>
          <w:szCs w:val="24"/>
          <w:lang w:val="en-GB"/>
        </w:rPr>
        <w:t>es</w:t>
      </w:r>
      <w:r w:rsidRPr="00060E7A">
        <w:rPr>
          <w:rFonts w:ascii="Times New Roman" w:hAnsi="Times New Roman" w:cs="Times New Roman"/>
          <w:sz w:val="24"/>
          <w:szCs w:val="24"/>
          <w:lang w:val="en-GB"/>
        </w:rPr>
        <w:t>, and on low levels of tax fraud and social abuse, it is also contingent on the perception that the welfare state is economically sustainable</w:t>
      </w:r>
      <w:r w:rsidR="001D66E6" w:rsidRPr="00060E7A">
        <w:rPr>
          <w:rFonts w:ascii="Times New Roman" w:hAnsi="Times New Roman" w:cs="Times New Roman"/>
          <w:sz w:val="24"/>
          <w:szCs w:val="24"/>
          <w:lang w:val="en-GB"/>
        </w:rPr>
        <w:t xml:space="preserve">. This </w:t>
      </w:r>
      <w:r w:rsidR="00CF1CB1" w:rsidRPr="00060E7A">
        <w:rPr>
          <w:rFonts w:ascii="Times New Roman" w:hAnsi="Times New Roman" w:cs="Times New Roman"/>
          <w:sz w:val="24"/>
          <w:szCs w:val="24"/>
          <w:lang w:val="en-GB"/>
        </w:rPr>
        <w:t xml:space="preserve">not only means that </w:t>
      </w:r>
      <w:r w:rsidR="001D66E6" w:rsidRPr="00060E7A">
        <w:rPr>
          <w:rFonts w:ascii="Times New Roman" w:hAnsi="Times New Roman" w:cs="Times New Roman"/>
          <w:sz w:val="24"/>
          <w:szCs w:val="24"/>
          <w:lang w:val="en-GB"/>
        </w:rPr>
        <w:t>there has been increased willi</w:t>
      </w:r>
      <w:r w:rsidR="00060E7A">
        <w:rPr>
          <w:rFonts w:ascii="Times New Roman" w:hAnsi="Times New Roman" w:cs="Times New Roman"/>
          <w:sz w:val="24"/>
          <w:szCs w:val="24"/>
          <w:lang w:val="en-GB"/>
        </w:rPr>
        <w:t>ngness to cut back</w:t>
      </w:r>
      <w:r w:rsidR="001D66E6" w:rsidRPr="00060E7A">
        <w:rPr>
          <w:rFonts w:ascii="Times New Roman" w:hAnsi="Times New Roman" w:cs="Times New Roman"/>
          <w:sz w:val="24"/>
          <w:szCs w:val="24"/>
          <w:lang w:val="en-GB"/>
        </w:rPr>
        <w:t xml:space="preserve"> </w:t>
      </w:r>
      <w:r w:rsidR="00646B0D" w:rsidRPr="00060E7A">
        <w:rPr>
          <w:rFonts w:ascii="Times New Roman" w:hAnsi="Times New Roman" w:cs="Times New Roman"/>
          <w:sz w:val="24"/>
          <w:szCs w:val="24"/>
          <w:lang w:val="en-GB"/>
        </w:rPr>
        <w:t xml:space="preserve">on public expenditures </w:t>
      </w:r>
      <w:r w:rsidR="001D66E6" w:rsidRPr="00060E7A">
        <w:rPr>
          <w:rFonts w:ascii="Times New Roman" w:hAnsi="Times New Roman" w:cs="Times New Roman"/>
          <w:sz w:val="24"/>
          <w:szCs w:val="24"/>
          <w:lang w:val="en-GB"/>
        </w:rPr>
        <w:t xml:space="preserve">during economic crises (Goul Andersen, 1991, 1992, </w:t>
      </w:r>
      <w:r w:rsidR="0033147E" w:rsidRPr="00060E7A">
        <w:rPr>
          <w:rFonts w:ascii="Times New Roman" w:hAnsi="Times New Roman" w:cs="Times New Roman"/>
          <w:sz w:val="24"/>
          <w:szCs w:val="24"/>
          <w:lang w:val="en-GB"/>
        </w:rPr>
        <w:t>1994</w:t>
      </w:r>
      <w:r w:rsidR="001D66E6" w:rsidRPr="00060E7A">
        <w:rPr>
          <w:rFonts w:ascii="Times New Roman" w:hAnsi="Times New Roman" w:cs="Times New Roman"/>
          <w:sz w:val="24"/>
          <w:szCs w:val="24"/>
          <w:lang w:val="en-GB"/>
        </w:rPr>
        <w:t>)</w:t>
      </w:r>
      <w:r w:rsidR="0033147E" w:rsidRPr="00060E7A">
        <w:rPr>
          <w:rFonts w:ascii="Times New Roman" w:hAnsi="Times New Roman" w:cs="Times New Roman"/>
          <w:sz w:val="24"/>
          <w:szCs w:val="24"/>
          <w:lang w:val="en-GB"/>
        </w:rPr>
        <w:t xml:space="preserve">; </w:t>
      </w:r>
      <w:r w:rsidR="00060E7A">
        <w:rPr>
          <w:rFonts w:ascii="Times New Roman" w:hAnsi="Times New Roman" w:cs="Times New Roman"/>
          <w:sz w:val="24"/>
          <w:szCs w:val="24"/>
          <w:lang w:val="en-GB"/>
        </w:rPr>
        <w:t>voters have</w:t>
      </w:r>
      <w:r w:rsidR="009567EE" w:rsidRPr="00060E7A">
        <w:rPr>
          <w:rFonts w:ascii="Times New Roman" w:hAnsi="Times New Roman" w:cs="Times New Roman"/>
          <w:sz w:val="24"/>
          <w:szCs w:val="24"/>
          <w:lang w:val="en-GB"/>
        </w:rPr>
        <w:t xml:space="preserve"> </w:t>
      </w:r>
      <w:r w:rsidR="00060E7A">
        <w:rPr>
          <w:rFonts w:ascii="Times New Roman" w:hAnsi="Times New Roman" w:cs="Times New Roman"/>
          <w:sz w:val="24"/>
          <w:szCs w:val="24"/>
          <w:lang w:val="en-GB"/>
        </w:rPr>
        <w:t>reacted similarly</w:t>
      </w:r>
      <w:r w:rsidR="009567EE" w:rsidRPr="00060E7A">
        <w:rPr>
          <w:rFonts w:ascii="Times New Roman" w:hAnsi="Times New Roman" w:cs="Times New Roman"/>
          <w:sz w:val="24"/>
          <w:szCs w:val="24"/>
          <w:lang w:val="en-GB"/>
        </w:rPr>
        <w:t xml:space="preserve"> to recurrent claims about long-term sustainability such as </w:t>
      </w:r>
      <w:r w:rsidR="0033147E" w:rsidRPr="00060E7A">
        <w:rPr>
          <w:rFonts w:ascii="Times New Roman" w:hAnsi="Times New Roman" w:cs="Times New Roman"/>
          <w:sz w:val="24"/>
          <w:szCs w:val="24"/>
          <w:lang w:val="en-GB"/>
        </w:rPr>
        <w:t>the challenge of ageing populations (Goul Andersen, 2011a).</w:t>
      </w:r>
    </w:p>
    <w:p w:rsidR="00D95423" w:rsidRPr="00060E7A" w:rsidRDefault="00D638F0" w:rsidP="00D5750A">
      <w:pPr>
        <w:rPr>
          <w:rFonts w:ascii="Times New Roman" w:hAnsi="Times New Roman" w:cs="Times New Roman"/>
          <w:sz w:val="24"/>
          <w:szCs w:val="24"/>
          <w:lang w:val="en-GB"/>
        </w:rPr>
      </w:pPr>
      <w:r w:rsidRPr="00060E7A">
        <w:rPr>
          <w:rFonts w:ascii="Times New Roman" w:hAnsi="Times New Roman" w:cs="Times New Roman"/>
          <w:sz w:val="24"/>
          <w:szCs w:val="24"/>
          <w:lang w:val="en-GB"/>
        </w:rPr>
        <w:t>T</w:t>
      </w:r>
      <w:r w:rsidR="009567EE" w:rsidRPr="00060E7A">
        <w:rPr>
          <w:rFonts w:ascii="Times New Roman" w:hAnsi="Times New Roman" w:cs="Times New Roman"/>
          <w:sz w:val="24"/>
          <w:szCs w:val="24"/>
          <w:lang w:val="en-GB"/>
        </w:rPr>
        <w:t xml:space="preserve">his </w:t>
      </w:r>
      <w:r w:rsidR="00060E7A">
        <w:rPr>
          <w:rFonts w:ascii="Times New Roman" w:hAnsi="Times New Roman" w:cs="Times New Roman"/>
          <w:sz w:val="24"/>
          <w:szCs w:val="24"/>
          <w:lang w:val="en-GB"/>
        </w:rPr>
        <w:t>opinion climate</w:t>
      </w:r>
      <w:r w:rsidRPr="00060E7A">
        <w:rPr>
          <w:rFonts w:ascii="Times New Roman" w:hAnsi="Times New Roman" w:cs="Times New Roman"/>
          <w:sz w:val="24"/>
          <w:szCs w:val="24"/>
          <w:lang w:val="en-GB"/>
        </w:rPr>
        <w:t xml:space="preserve"> has facilitated </w:t>
      </w:r>
      <w:r w:rsidR="009567EE" w:rsidRPr="00060E7A">
        <w:rPr>
          <w:rFonts w:ascii="Times New Roman" w:hAnsi="Times New Roman" w:cs="Times New Roman"/>
          <w:sz w:val="24"/>
          <w:szCs w:val="24"/>
          <w:lang w:val="en-GB"/>
        </w:rPr>
        <w:t xml:space="preserve">proactive </w:t>
      </w:r>
      <w:r w:rsidR="00202B91" w:rsidRPr="00060E7A">
        <w:rPr>
          <w:rFonts w:ascii="Times New Roman" w:hAnsi="Times New Roman" w:cs="Times New Roman"/>
          <w:sz w:val="24"/>
          <w:szCs w:val="24"/>
          <w:lang w:val="en-GB"/>
        </w:rPr>
        <w:t xml:space="preserve">government measures </w:t>
      </w:r>
      <w:r w:rsidR="009567EE" w:rsidRPr="00060E7A">
        <w:rPr>
          <w:rFonts w:ascii="Times New Roman" w:hAnsi="Times New Roman" w:cs="Times New Roman"/>
          <w:sz w:val="24"/>
          <w:szCs w:val="24"/>
          <w:lang w:val="en-GB"/>
        </w:rPr>
        <w:t xml:space="preserve">to </w:t>
      </w:r>
      <w:r w:rsidR="00202B91" w:rsidRPr="00060E7A">
        <w:rPr>
          <w:rFonts w:ascii="Times New Roman" w:hAnsi="Times New Roman" w:cs="Times New Roman"/>
          <w:sz w:val="24"/>
          <w:szCs w:val="24"/>
          <w:lang w:val="en-GB"/>
        </w:rPr>
        <w:t>overcome</w:t>
      </w:r>
      <w:r w:rsidR="009567EE" w:rsidRPr="00060E7A">
        <w:rPr>
          <w:rFonts w:ascii="Times New Roman" w:hAnsi="Times New Roman" w:cs="Times New Roman"/>
          <w:sz w:val="24"/>
          <w:szCs w:val="24"/>
          <w:lang w:val="en-GB"/>
        </w:rPr>
        <w:t xml:space="preserve"> challenges of ageing or globalization. </w:t>
      </w:r>
      <w:r w:rsidR="00720EF2" w:rsidRPr="00060E7A">
        <w:rPr>
          <w:rFonts w:ascii="Times New Roman" w:hAnsi="Times New Roman" w:cs="Times New Roman"/>
          <w:sz w:val="24"/>
          <w:szCs w:val="24"/>
          <w:lang w:val="en-GB"/>
        </w:rPr>
        <w:t xml:space="preserve">Further, </w:t>
      </w:r>
      <w:r w:rsidR="00CF1CB1" w:rsidRPr="00060E7A">
        <w:rPr>
          <w:rFonts w:ascii="Times New Roman" w:hAnsi="Times New Roman" w:cs="Times New Roman"/>
          <w:sz w:val="24"/>
          <w:szCs w:val="24"/>
          <w:lang w:val="en-GB"/>
        </w:rPr>
        <w:t xml:space="preserve">since the 1980s </w:t>
      </w:r>
      <w:r w:rsidR="00720EF2" w:rsidRPr="00060E7A">
        <w:rPr>
          <w:rFonts w:ascii="Times New Roman" w:hAnsi="Times New Roman" w:cs="Times New Roman"/>
          <w:sz w:val="24"/>
          <w:szCs w:val="24"/>
          <w:lang w:val="en-GB"/>
        </w:rPr>
        <w:t xml:space="preserve">there has been a political consensus regarding prudent economic policies. </w:t>
      </w:r>
      <w:r w:rsidR="00646B0D" w:rsidRPr="00060E7A">
        <w:rPr>
          <w:rFonts w:ascii="Times New Roman" w:hAnsi="Times New Roman" w:cs="Times New Roman"/>
          <w:sz w:val="24"/>
          <w:szCs w:val="24"/>
          <w:lang w:val="en-GB"/>
        </w:rPr>
        <w:t xml:space="preserve">Accordingly, </w:t>
      </w:r>
      <w:r w:rsidR="00202B91" w:rsidRPr="00060E7A">
        <w:rPr>
          <w:rFonts w:ascii="Times New Roman" w:hAnsi="Times New Roman" w:cs="Times New Roman"/>
          <w:sz w:val="24"/>
          <w:szCs w:val="24"/>
          <w:lang w:val="en-GB"/>
        </w:rPr>
        <w:t xml:space="preserve">the Danish welfare state entered the </w:t>
      </w:r>
      <w:r w:rsidR="00720EF2" w:rsidRPr="00060E7A">
        <w:rPr>
          <w:rFonts w:ascii="Times New Roman" w:hAnsi="Times New Roman" w:cs="Times New Roman"/>
          <w:sz w:val="24"/>
          <w:szCs w:val="24"/>
          <w:lang w:val="en-GB"/>
        </w:rPr>
        <w:t>great recession</w:t>
      </w:r>
      <w:r w:rsidR="00646B0D" w:rsidRPr="00060E7A">
        <w:rPr>
          <w:rFonts w:ascii="Times New Roman" w:hAnsi="Times New Roman" w:cs="Times New Roman"/>
          <w:sz w:val="24"/>
          <w:szCs w:val="24"/>
          <w:lang w:val="en-GB"/>
        </w:rPr>
        <w:t xml:space="preserve"> </w:t>
      </w:r>
      <w:r w:rsidR="00202B91" w:rsidRPr="00060E7A">
        <w:rPr>
          <w:rFonts w:ascii="Times New Roman" w:hAnsi="Times New Roman" w:cs="Times New Roman"/>
          <w:sz w:val="24"/>
          <w:szCs w:val="24"/>
          <w:lang w:val="en-GB"/>
        </w:rPr>
        <w:t>with a large budget surplus (</w:t>
      </w:r>
      <w:r w:rsidR="00720EF2" w:rsidRPr="00060E7A">
        <w:rPr>
          <w:rFonts w:ascii="Times New Roman" w:hAnsi="Times New Roman" w:cs="Times New Roman"/>
          <w:sz w:val="24"/>
          <w:szCs w:val="24"/>
          <w:lang w:val="en-GB"/>
        </w:rPr>
        <w:t>5.0 per cent of GDP in 20</w:t>
      </w:r>
      <w:r w:rsidR="00222238" w:rsidRPr="00060E7A">
        <w:rPr>
          <w:rFonts w:ascii="Times New Roman" w:hAnsi="Times New Roman" w:cs="Times New Roman"/>
          <w:sz w:val="24"/>
          <w:szCs w:val="24"/>
          <w:lang w:val="en-GB"/>
        </w:rPr>
        <w:t>0</w:t>
      </w:r>
      <w:r w:rsidR="00720EF2" w:rsidRPr="00060E7A">
        <w:rPr>
          <w:rFonts w:ascii="Times New Roman" w:hAnsi="Times New Roman" w:cs="Times New Roman"/>
          <w:sz w:val="24"/>
          <w:szCs w:val="24"/>
          <w:lang w:val="en-GB"/>
        </w:rPr>
        <w:t>5</w:t>
      </w:r>
      <w:r w:rsidR="00202B91" w:rsidRPr="00060E7A">
        <w:rPr>
          <w:rFonts w:ascii="Times New Roman" w:hAnsi="Times New Roman" w:cs="Times New Roman"/>
          <w:sz w:val="24"/>
          <w:szCs w:val="24"/>
          <w:lang w:val="en-GB"/>
        </w:rPr>
        <w:t>-07)</w:t>
      </w:r>
      <w:r w:rsidR="00720EF2" w:rsidRPr="00060E7A">
        <w:rPr>
          <w:rFonts w:ascii="Times New Roman" w:hAnsi="Times New Roman" w:cs="Times New Roman"/>
          <w:sz w:val="24"/>
          <w:szCs w:val="24"/>
          <w:lang w:val="en-GB"/>
        </w:rPr>
        <w:t xml:space="preserve">. </w:t>
      </w:r>
      <w:r w:rsidR="00D5750A" w:rsidRPr="00060E7A">
        <w:rPr>
          <w:rFonts w:ascii="Times New Roman" w:hAnsi="Times New Roman" w:cs="Times New Roman"/>
          <w:sz w:val="24"/>
          <w:szCs w:val="24"/>
          <w:lang w:val="en-GB"/>
        </w:rPr>
        <w:t xml:space="preserve">This was actually too little – fiscal </w:t>
      </w:r>
      <w:r w:rsidR="00720EF2" w:rsidRPr="00060E7A">
        <w:rPr>
          <w:rFonts w:ascii="Times New Roman" w:hAnsi="Times New Roman" w:cs="Times New Roman"/>
          <w:sz w:val="24"/>
          <w:szCs w:val="24"/>
          <w:lang w:val="en-GB"/>
        </w:rPr>
        <w:t xml:space="preserve">policy </w:t>
      </w:r>
      <w:r w:rsidR="00202B91" w:rsidRPr="00060E7A">
        <w:rPr>
          <w:rFonts w:ascii="Times New Roman" w:hAnsi="Times New Roman" w:cs="Times New Roman"/>
          <w:sz w:val="24"/>
          <w:szCs w:val="24"/>
          <w:lang w:val="en-GB"/>
        </w:rPr>
        <w:t xml:space="preserve">should </w:t>
      </w:r>
      <w:r w:rsidR="00720EF2" w:rsidRPr="00060E7A">
        <w:rPr>
          <w:rFonts w:ascii="Times New Roman" w:hAnsi="Times New Roman" w:cs="Times New Roman"/>
          <w:sz w:val="24"/>
          <w:szCs w:val="24"/>
          <w:lang w:val="en-GB"/>
        </w:rPr>
        <w:t>have been tight</w:t>
      </w:r>
      <w:r w:rsidR="00CF1CB1" w:rsidRPr="00060E7A">
        <w:rPr>
          <w:rFonts w:ascii="Times New Roman" w:hAnsi="Times New Roman" w:cs="Times New Roman"/>
          <w:sz w:val="24"/>
          <w:szCs w:val="24"/>
          <w:lang w:val="en-GB"/>
        </w:rPr>
        <w:t>er</w:t>
      </w:r>
      <w:r w:rsidR="00720EF2" w:rsidRPr="00060E7A">
        <w:rPr>
          <w:rFonts w:ascii="Times New Roman" w:hAnsi="Times New Roman" w:cs="Times New Roman"/>
          <w:sz w:val="24"/>
          <w:szCs w:val="24"/>
          <w:lang w:val="en-GB"/>
        </w:rPr>
        <w:t xml:space="preserve">, but </w:t>
      </w:r>
      <w:r w:rsidR="00CF1CB1" w:rsidRPr="00060E7A">
        <w:rPr>
          <w:rFonts w:ascii="Times New Roman" w:hAnsi="Times New Roman" w:cs="Times New Roman"/>
          <w:sz w:val="24"/>
          <w:szCs w:val="24"/>
          <w:lang w:val="en-GB"/>
        </w:rPr>
        <w:t xml:space="preserve">after all, </w:t>
      </w:r>
      <w:r w:rsidR="00D5750A" w:rsidRPr="00060E7A">
        <w:rPr>
          <w:rFonts w:ascii="Times New Roman" w:hAnsi="Times New Roman" w:cs="Times New Roman"/>
          <w:sz w:val="24"/>
          <w:szCs w:val="24"/>
          <w:lang w:val="en-GB"/>
        </w:rPr>
        <w:t xml:space="preserve">maintaining a large surplus before 2008 contributed to keeping public </w:t>
      </w:r>
      <w:r w:rsidR="009567EE" w:rsidRPr="00060E7A">
        <w:rPr>
          <w:rFonts w:ascii="Times New Roman" w:hAnsi="Times New Roman" w:cs="Times New Roman"/>
          <w:sz w:val="24"/>
          <w:szCs w:val="24"/>
          <w:lang w:val="en-GB"/>
        </w:rPr>
        <w:t xml:space="preserve">deficits </w:t>
      </w:r>
      <w:r w:rsidR="00646B0D" w:rsidRPr="00060E7A">
        <w:rPr>
          <w:rFonts w:ascii="Times New Roman" w:hAnsi="Times New Roman" w:cs="Times New Roman"/>
          <w:sz w:val="24"/>
          <w:szCs w:val="24"/>
          <w:lang w:val="en-GB"/>
        </w:rPr>
        <w:t xml:space="preserve">in Denmark </w:t>
      </w:r>
      <w:r w:rsidR="00D5750A" w:rsidRPr="00060E7A">
        <w:rPr>
          <w:rFonts w:ascii="Times New Roman" w:hAnsi="Times New Roman" w:cs="Times New Roman"/>
          <w:sz w:val="24"/>
          <w:szCs w:val="24"/>
          <w:lang w:val="en-GB"/>
        </w:rPr>
        <w:t xml:space="preserve">below </w:t>
      </w:r>
      <w:r w:rsidR="009567EE" w:rsidRPr="00060E7A">
        <w:rPr>
          <w:rFonts w:ascii="Times New Roman" w:hAnsi="Times New Roman" w:cs="Times New Roman"/>
          <w:sz w:val="24"/>
          <w:szCs w:val="24"/>
          <w:lang w:val="en-GB"/>
        </w:rPr>
        <w:t>the 3 per cent of GDP threshold</w:t>
      </w:r>
      <w:r w:rsidR="00720EF2" w:rsidRPr="00060E7A">
        <w:rPr>
          <w:rFonts w:ascii="Times New Roman" w:hAnsi="Times New Roman" w:cs="Times New Roman"/>
          <w:sz w:val="24"/>
          <w:szCs w:val="24"/>
          <w:lang w:val="en-GB"/>
        </w:rPr>
        <w:t xml:space="preserve"> during the recession</w:t>
      </w:r>
      <w:r w:rsidR="00CF1CB1" w:rsidRPr="00060E7A">
        <w:rPr>
          <w:rStyle w:val="FootnoteReference"/>
          <w:rFonts w:ascii="Times New Roman" w:hAnsi="Times New Roman" w:cs="Times New Roman"/>
          <w:bCs/>
          <w:sz w:val="24"/>
          <w:szCs w:val="24"/>
          <w:lang w:val="en-GB"/>
        </w:rPr>
        <w:footnoteReference w:id="3"/>
      </w:r>
      <w:r w:rsidR="00720EF2" w:rsidRPr="00060E7A">
        <w:rPr>
          <w:rFonts w:ascii="Times New Roman" w:hAnsi="Times New Roman" w:cs="Times New Roman"/>
          <w:sz w:val="24"/>
          <w:szCs w:val="24"/>
          <w:lang w:val="en-GB"/>
        </w:rPr>
        <w:t>. G</w:t>
      </w:r>
      <w:r w:rsidR="009567EE" w:rsidRPr="00060E7A">
        <w:rPr>
          <w:rFonts w:ascii="Times New Roman" w:hAnsi="Times New Roman" w:cs="Times New Roman"/>
          <w:sz w:val="24"/>
          <w:szCs w:val="24"/>
          <w:lang w:val="en-GB"/>
        </w:rPr>
        <w:t xml:space="preserve">ross </w:t>
      </w:r>
      <w:r w:rsidR="00720EF2" w:rsidRPr="00060E7A">
        <w:rPr>
          <w:rFonts w:ascii="Times New Roman" w:hAnsi="Times New Roman" w:cs="Times New Roman"/>
          <w:sz w:val="24"/>
          <w:szCs w:val="24"/>
          <w:lang w:val="en-GB"/>
        </w:rPr>
        <w:t xml:space="preserve">public </w:t>
      </w:r>
      <w:r w:rsidR="009567EE" w:rsidRPr="00060E7A">
        <w:rPr>
          <w:rFonts w:ascii="Times New Roman" w:hAnsi="Times New Roman" w:cs="Times New Roman"/>
          <w:sz w:val="24"/>
          <w:szCs w:val="24"/>
          <w:lang w:val="en-GB"/>
        </w:rPr>
        <w:t xml:space="preserve">debt </w:t>
      </w:r>
      <w:r w:rsidR="00202B91" w:rsidRPr="00060E7A">
        <w:rPr>
          <w:rFonts w:ascii="Times New Roman" w:hAnsi="Times New Roman" w:cs="Times New Roman"/>
          <w:sz w:val="24"/>
          <w:szCs w:val="24"/>
          <w:lang w:val="en-GB"/>
        </w:rPr>
        <w:t xml:space="preserve">is </w:t>
      </w:r>
      <w:r w:rsidR="009567EE" w:rsidRPr="00060E7A">
        <w:rPr>
          <w:rFonts w:ascii="Times New Roman" w:hAnsi="Times New Roman" w:cs="Times New Roman"/>
          <w:sz w:val="24"/>
          <w:szCs w:val="24"/>
          <w:lang w:val="en-GB"/>
        </w:rPr>
        <w:t xml:space="preserve">well below the 60 per cent, and net debt has remained close to zero. </w:t>
      </w:r>
    </w:p>
    <w:p w:rsidR="00D95423" w:rsidRPr="00060E7A" w:rsidRDefault="00D95423"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lastRenderedPageBreak/>
        <w:t>As regards long-term sustainability, pension and retirement reforms ensure that current welfare programmes can be maintained without increasing taxati</w:t>
      </w:r>
      <w:r w:rsidR="00060E7A">
        <w:rPr>
          <w:rFonts w:ascii="Times New Roman" w:hAnsi="Times New Roman" w:cs="Times New Roman"/>
          <w:sz w:val="24"/>
          <w:szCs w:val="24"/>
          <w:lang w:val="en-GB"/>
        </w:rPr>
        <w:t>on. Finally, despite</w:t>
      </w:r>
      <w:r w:rsidRPr="00060E7A">
        <w:rPr>
          <w:rFonts w:ascii="Times New Roman" w:hAnsi="Times New Roman" w:cs="Times New Roman"/>
          <w:sz w:val="24"/>
          <w:szCs w:val="24"/>
          <w:lang w:val="en-GB"/>
        </w:rPr>
        <w:t xml:space="preserve"> </w:t>
      </w:r>
      <w:r w:rsidR="00FA71BE">
        <w:rPr>
          <w:rFonts w:ascii="Times New Roman" w:hAnsi="Times New Roman" w:cs="Times New Roman"/>
          <w:sz w:val="24"/>
          <w:szCs w:val="24"/>
          <w:lang w:val="en-GB"/>
        </w:rPr>
        <w:t xml:space="preserve">questions as to </w:t>
      </w:r>
      <w:r w:rsidRPr="00060E7A">
        <w:rPr>
          <w:rFonts w:ascii="Times New Roman" w:hAnsi="Times New Roman" w:cs="Times New Roman"/>
          <w:sz w:val="24"/>
          <w:szCs w:val="24"/>
          <w:lang w:val="en-GB"/>
        </w:rPr>
        <w:t>Danish c</w:t>
      </w:r>
      <w:r w:rsidR="00FA71BE">
        <w:rPr>
          <w:rFonts w:ascii="Times New Roman" w:hAnsi="Times New Roman" w:cs="Times New Roman"/>
          <w:sz w:val="24"/>
          <w:szCs w:val="24"/>
          <w:lang w:val="en-GB"/>
        </w:rPr>
        <w:t>ompetitiveness in the face</w:t>
      </w:r>
      <w:r w:rsidRPr="00060E7A">
        <w:rPr>
          <w:rFonts w:ascii="Times New Roman" w:hAnsi="Times New Roman" w:cs="Times New Roman"/>
          <w:sz w:val="24"/>
          <w:szCs w:val="24"/>
          <w:lang w:val="en-GB"/>
        </w:rPr>
        <w:t xml:space="preserve"> of globalization during the crisis, Danes have remained “globalization optimists” (see e.g. Eurobarometer). And for good reasons: After three decades of balance of payment deficits, Denmark entered a period of permanent current account surplus in 1990</w:t>
      </w:r>
      <w:r w:rsidRPr="00060E7A">
        <w:rPr>
          <w:rStyle w:val="FootnoteReference"/>
          <w:rFonts w:ascii="Times New Roman" w:hAnsi="Times New Roman" w:cs="Times New Roman"/>
          <w:bCs/>
          <w:sz w:val="24"/>
          <w:szCs w:val="24"/>
          <w:lang w:val="en-GB"/>
        </w:rPr>
        <w:footnoteReference w:id="4"/>
      </w:r>
      <w:r w:rsidRPr="00060E7A">
        <w:rPr>
          <w:rFonts w:ascii="Times New Roman" w:hAnsi="Times New Roman" w:cs="Times New Roman"/>
          <w:sz w:val="24"/>
          <w:szCs w:val="24"/>
          <w:lang w:val="en-GB"/>
        </w:rPr>
        <w:t>. During the great recession, the current account surplus grew to about 7 per cent of GDP</w:t>
      </w:r>
      <w:r w:rsidRPr="00060E7A">
        <w:rPr>
          <w:rStyle w:val="FootnoteReference"/>
          <w:rFonts w:ascii="Times New Roman" w:hAnsi="Times New Roman" w:cs="Times New Roman"/>
          <w:bCs/>
          <w:sz w:val="24"/>
          <w:szCs w:val="24"/>
          <w:lang w:val="en-GB"/>
        </w:rPr>
        <w:footnoteReference w:id="5"/>
      </w:r>
      <w:r w:rsidRPr="00060E7A">
        <w:rPr>
          <w:rFonts w:ascii="Times New Roman" w:hAnsi="Times New Roman" w:cs="Times New Roman"/>
          <w:sz w:val="24"/>
          <w:szCs w:val="24"/>
          <w:lang w:val="en-GB"/>
        </w:rPr>
        <w:t>.</w:t>
      </w:r>
    </w:p>
    <w:p w:rsidR="00C25B94" w:rsidRPr="00060E7A" w:rsidRDefault="00EB0148" w:rsidP="00C5544C">
      <w:pPr>
        <w:spacing w:after="60" w:line="240" w:lineRule="auto"/>
        <w:rPr>
          <w:rFonts w:ascii="Times New Roman" w:hAnsi="Times New Roman" w:cs="Times New Roman"/>
          <w:sz w:val="20"/>
          <w:szCs w:val="20"/>
          <w:lang w:val="en-GB"/>
        </w:rPr>
      </w:pPr>
      <w:r w:rsidRPr="00060E7A">
        <w:rPr>
          <w:rFonts w:ascii="Times New Roman" w:hAnsi="Times New Roman" w:cs="Times New Roman"/>
          <w:noProof/>
          <w:sz w:val="20"/>
          <w:szCs w:val="20"/>
          <w:lang w:val="en-GB" w:eastAsia="en-GB"/>
        </w:rPr>
        <w:drawing>
          <wp:inline distT="0" distB="0" distL="0" distR="0" wp14:anchorId="16D6D061" wp14:editId="4A04E344">
            <wp:extent cx="5934892" cy="4267200"/>
            <wp:effectExtent l="19050" t="0" r="27758"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2B05" w:rsidRPr="00060E7A" w:rsidRDefault="00482B05" w:rsidP="00C5544C">
      <w:pPr>
        <w:spacing w:after="6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Source: OECD (2015), Annex table 26.</w:t>
      </w:r>
    </w:p>
    <w:p w:rsidR="00F5594A" w:rsidRPr="00060E7A" w:rsidRDefault="00A610ED" w:rsidP="00D95423">
      <w:pPr>
        <w:pStyle w:val="Heading1"/>
        <w:rPr>
          <w:lang w:val="en-GB"/>
        </w:rPr>
      </w:pPr>
      <w:bookmarkStart w:id="3" w:name="_Toc427117807"/>
      <w:r w:rsidRPr="00060E7A">
        <w:rPr>
          <w:lang w:val="en-GB"/>
        </w:rPr>
        <w:t>2. Economic, social and political context</w:t>
      </w:r>
      <w:bookmarkEnd w:id="3"/>
    </w:p>
    <w:p w:rsidR="008460BB" w:rsidRPr="00FA71BE" w:rsidRDefault="00EA0EB8" w:rsidP="00A01510">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From the mid-1990s until the great recession, Denmark </w:t>
      </w:r>
      <w:r w:rsidR="00C851CB" w:rsidRPr="00060E7A">
        <w:rPr>
          <w:rFonts w:ascii="Times New Roman" w:hAnsi="Times New Roman" w:cs="Times New Roman"/>
          <w:sz w:val="24"/>
          <w:szCs w:val="24"/>
          <w:lang w:val="en-GB"/>
        </w:rPr>
        <w:t xml:space="preserve">almost </w:t>
      </w:r>
      <w:r w:rsidRPr="00060E7A">
        <w:rPr>
          <w:rFonts w:ascii="Times New Roman" w:hAnsi="Times New Roman" w:cs="Times New Roman"/>
          <w:sz w:val="24"/>
          <w:szCs w:val="24"/>
          <w:lang w:val="en-GB"/>
        </w:rPr>
        <w:t>experienced a second “golden age” of the welfare state. Public consumption increased with an annual growth rate of some 2 per cent</w:t>
      </w:r>
      <w:r w:rsidR="008E7C2D" w:rsidRPr="00060E7A">
        <w:rPr>
          <w:rFonts w:ascii="Times New Roman" w:hAnsi="Times New Roman" w:cs="Times New Roman"/>
          <w:sz w:val="24"/>
          <w:szCs w:val="24"/>
          <w:lang w:val="en-GB"/>
        </w:rPr>
        <w:t>, adding up to a cumulative growth of 45 per cent in real</w:t>
      </w:r>
      <w:r w:rsidR="008460BB" w:rsidRPr="00060E7A">
        <w:rPr>
          <w:rFonts w:ascii="Times New Roman" w:hAnsi="Times New Roman" w:cs="Times New Roman"/>
          <w:sz w:val="24"/>
          <w:szCs w:val="24"/>
          <w:lang w:val="en-GB"/>
        </w:rPr>
        <w:t xml:space="preserve"> </w:t>
      </w:r>
      <w:r w:rsidR="008E7C2D" w:rsidRPr="00060E7A">
        <w:rPr>
          <w:rFonts w:ascii="Times New Roman" w:hAnsi="Times New Roman" w:cs="Times New Roman"/>
          <w:sz w:val="24"/>
          <w:szCs w:val="24"/>
          <w:lang w:val="en-GB"/>
        </w:rPr>
        <w:t xml:space="preserve">terms from 1992 to 2010 (Goul Andersen, 2012). </w:t>
      </w:r>
      <w:r w:rsidR="008460BB" w:rsidRPr="00060E7A">
        <w:rPr>
          <w:rFonts w:ascii="Times New Roman" w:hAnsi="Times New Roman" w:cs="Times New Roman"/>
          <w:sz w:val="24"/>
          <w:szCs w:val="24"/>
          <w:lang w:val="en-GB"/>
        </w:rPr>
        <w:t xml:space="preserve">This allowed for a significant catching up for the health care system, for </w:t>
      </w:r>
      <w:r w:rsidR="00C851CB" w:rsidRPr="00060E7A">
        <w:rPr>
          <w:rFonts w:ascii="Times New Roman" w:hAnsi="Times New Roman" w:cs="Times New Roman"/>
          <w:sz w:val="24"/>
          <w:szCs w:val="24"/>
          <w:lang w:val="en-GB"/>
        </w:rPr>
        <w:t xml:space="preserve">an </w:t>
      </w:r>
      <w:r w:rsidR="008460BB" w:rsidRPr="00060E7A">
        <w:rPr>
          <w:rFonts w:ascii="Times New Roman" w:hAnsi="Times New Roman" w:cs="Times New Roman"/>
          <w:sz w:val="24"/>
          <w:szCs w:val="24"/>
          <w:lang w:val="en-GB"/>
        </w:rPr>
        <w:t xml:space="preserve">expansion of education, and for </w:t>
      </w:r>
      <w:r w:rsidR="00C5544C" w:rsidRPr="00060E7A">
        <w:rPr>
          <w:rFonts w:ascii="Times New Roman" w:hAnsi="Times New Roman" w:cs="Times New Roman"/>
          <w:sz w:val="24"/>
          <w:szCs w:val="24"/>
          <w:lang w:val="en-GB"/>
        </w:rPr>
        <w:t xml:space="preserve">closing </w:t>
      </w:r>
      <w:r w:rsidR="00C851CB" w:rsidRPr="00060E7A">
        <w:rPr>
          <w:rFonts w:ascii="Times New Roman" w:hAnsi="Times New Roman" w:cs="Times New Roman"/>
          <w:sz w:val="24"/>
          <w:szCs w:val="24"/>
          <w:lang w:val="en-GB"/>
        </w:rPr>
        <w:t xml:space="preserve">the </w:t>
      </w:r>
      <w:r w:rsidR="00222238" w:rsidRPr="00060E7A">
        <w:rPr>
          <w:rFonts w:ascii="Times New Roman" w:hAnsi="Times New Roman" w:cs="Times New Roman"/>
          <w:sz w:val="24"/>
          <w:szCs w:val="24"/>
          <w:lang w:val="en-GB"/>
        </w:rPr>
        <w:t xml:space="preserve">remaining </w:t>
      </w:r>
      <w:r w:rsidR="00C851CB" w:rsidRPr="00060E7A">
        <w:rPr>
          <w:rFonts w:ascii="Times New Roman" w:hAnsi="Times New Roman" w:cs="Times New Roman"/>
          <w:sz w:val="24"/>
          <w:szCs w:val="24"/>
          <w:lang w:val="en-GB"/>
        </w:rPr>
        <w:t xml:space="preserve">gaps in child care (full inclusion of the </w:t>
      </w:r>
      <w:r w:rsidR="008460BB" w:rsidRPr="00060E7A">
        <w:rPr>
          <w:rFonts w:ascii="Times New Roman" w:hAnsi="Times New Roman" w:cs="Times New Roman"/>
          <w:sz w:val="24"/>
          <w:szCs w:val="24"/>
          <w:lang w:val="en-GB"/>
        </w:rPr>
        <w:t xml:space="preserve">children of unemployed </w:t>
      </w:r>
      <w:r w:rsidR="00C851CB" w:rsidRPr="00FA71BE">
        <w:rPr>
          <w:rFonts w:ascii="Times New Roman" w:hAnsi="Times New Roman" w:cs="Times New Roman"/>
          <w:sz w:val="24"/>
          <w:szCs w:val="24"/>
          <w:lang w:val="en-GB"/>
        </w:rPr>
        <w:t xml:space="preserve">and immigrants, and </w:t>
      </w:r>
      <w:r w:rsidR="00A01510" w:rsidRPr="00FA71BE">
        <w:rPr>
          <w:rFonts w:ascii="Times New Roman" w:hAnsi="Times New Roman" w:cs="Times New Roman"/>
          <w:sz w:val="24"/>
          <w:szCs w:val="24"/>
          <w:lang w:val="en-GB"/>
        </w:rPr>
        <w:t>o</w:t>
      </w:r>
      <w:r w:rsidR="00C851CB" w:rsidRPr="00FA71BE">
        <w:rPr>
          <w:rFonts w:ascii="Times New Roman" w:hAnsi="Times New Roman" w:cs="Times New Roman"/>
          <w:sz w:val="24"/>
          <w:szCs w:val="24"/>
          <w:lang w:val="en-GB"/>
        </w:rPr>
        <w:t xml:space="preserve">f </w:t>
      </w:r>
      <w:r w:rsidR="00A01510" w:rsidRPr="00FA71BE">
        <w:rPr>
          <w:rFonts w:ascii="Times New Roman" w:hAnsi="Times New Roman" w:cs="Times New Roman"/>
          <w:sz w:val="24"/>
          <w:szCs w:val="24"/>
          <w:lang w:val="en-GB"/>
        </w:rPr>
        <w:t xml:space="preserve">the </w:t>
      </w:r>
      <w:r w:rsidR="00222238" w:rsidRPr="00FA71BE">
        <w:rPr>
          <w:rFonts w:ascii="Times New Roman" w:hAnsi="Times New Roman" w:cs="Times New Roman"/>
          <w:sz w:val="24"/>
          <w:szCs w:val="24"/>
          <w:lang w:val="en-GB"/>
        </w:rPr>
        <w:t>young</w:t>
      </w:r>
      <w:r w:rsidR="00A01510" w:rsidRPr="00FA71BE">
        <w:rPr>
          <w:rFonts w:ascii="Times New Roman" w:hAnsi="Times New Roman" w:cs="Times New Roman"/>
          <w:sz w:val="24"/>
          <w:szCs w:val="24"/>
          <w:lang w:val="en-GB"/>
        </w:rPr>
        <w:t>est</w:t>
      </w:r>
      <w:r w:rsidR="00222238" w:rsidRPr="00FA71BE">
        <w:rPr>
          <w:rFonts w:ascii="Times New Roman" w:hAnsi="Times New Roman" w:cs="Times New Roman"/>
          <w:sz w:val="24"/>
          <w:szCs w:val="24"/>
          <w:lang w:val="en-GB"/>
        </w:rPr>
        <w:t xml:space="preserve"> </w:t>
      </w:r>
      <w:r w:rsidR="00A01510" w:rsidRPr="00FA71BE">
        <w:rPr>
          <w:rFonts w:ascii="Times New Roman" w:hAnsi="Times New Roman" w:cs="Times New Roman"/>
          <w:sz w:val="24"/>
          <w:szCs w:val="24"/>
          <w:lang w:val="en-GB"/>
        </w:rPr>
        <w:t xml:space="preserve">school </w:t>
      </w:r>
      <w:r w:rsidR="00C851CB" w:rsidRPr="00FA71BE">
        <w:rPr>
          <w:rFonts w:ascii="Times New Roman" w:hAnsi="Times New Roman" w:cs="Times New Roman"/>
          <w:sz w:val="24"/>
          <w:szCs w:val="24"/>
          <w:lang w:val="en-GB"/>
        </w:rPr>
        <w:t>children after school).</w:t>
      </w:r>
      <w:r w:rsidR="008460BB" w:rsidRPr="00FA71BE">
        <w:rPr>
          <w:rFonts w:ascii="Times New Roman" w:hAnsi="Times New Roman" w:cs="Times New Roman"/>
          <w:sz w:val="24"/>
          <w:szCs w:val="24"/>
          <w:lang w:val="en-GB"/>
        </w:rPr>
        <w:t xml:space="preserve"> </w:t>
      </w:r>
    </w:p>
    <w:p w:rsidR="005D225B" w:rsidRPr="00060E7A" w:rsidRDefault="00C851CB" w:rsidP="00D95423">
      <w:pPr>
        <w:rPr>
          <w:rFonts w:ascii="Times New Roman" w:hAnsi="Times New Roman" w:cs="Times New Roman"/>
          <w:sz w:val="24"/>
          <w:szCs w:val="24"/>
          <w:lang w:val="en-GB"/>
        </w:rPr>
      </w:pPr>
      <w:r w:rsidRPr="00FA71BE">
        <w:rPr>
          <w:rFonts w:ascii="Times New Roman" w:hAnsi="Times New Roman" w:cs="Times New Roman"/>
          <w:sz w:val="24"/>
          <w:szCs w:val="24"/>
          <w:lang w:val="en-GB"/>
        </w:rPr>
        <w:t xml:space="preserve">Despite this expansion, </w:t>
      </w:r>
      <w:r w:rsidR="00DB4026" w:rsidRPr="00FA71BE">
        <w:rPr>
          <w:rFonts w:ascii="Times New Roman" w:hAnsi="Times New Roman" w:cs="Times New Roman"/>
          <w:sz w:val="24"/>
          <w:szCs w:val="24"/>
          <w:lang w:val="en-GB"/>
        </w:rPr>
        <w:t xml:space="preserve">total </w:t>
      </w:r>
      <w:r w:rsidR="00EA0EB8" w:rsidRPr="00FA71BE">
        <w:rPr>
          <w:rFonts w:ascii="Times New Roman" w:hAnsi="Times New Roman" w:cs="Times New Roman"/>
          <w:sz w:val="24"/>
          <w:szCs w:val="24"/>
          <w:lang w:val="en-GB"/>
        </w:rPr>
        <w:t xml:space="preserve">public expenditures as </w:t>
      </w:r>
      <w:r w:rsidR="00DB4026" w:rsidRPr="00FA71BE">
        <w:rPr>
          <w:rFonts w:ascii="Times New Roman" w:hAnsi="Times New Roman" w:cs="Times New Roman"/>
          <w:sz w:val="24"/>
          <w:szCs w:val="24"/>
          <w:lang w:val="en-GB"/>
        </w:rPr>
        <w:t xml:space="preserve">proportion </w:t>
      </w:r>
      <w:r w:rsidR="00EA0EB8" w:rsidRPr="00FA71BE">
        <w:rPr>
          <w:rFonts w:ascii="Times New Roman" w:hAnsi="Times New Roman" w:cs="Times New Roman"/>
          <w:sz w:val="24"/>
          <w:szCs w:val="24"/>
          <w:lang w:val="en-GB"/>
        </w:rPr>
        <w:t xml:space="preserve">of GDP declined by </w:t>
      </w:r>
      <w:r w:rsidR="00DB4026" w:rsidRPr="00FA71BE">
        <w:rPr>
          <w:rFonts w:ascii="Times New Roman" w:hAnsi="Times New Roman" w:cs="Times New Roman"/>
          <w:sz w:val="24"/>
          <w:szCs w:val="24"/>
          <w:lang w:val="en-GB"/>
        </w:rPr>
        <w:t>11 percentage point from 1993 to 2007</w:t>
      </w:r>
      <w:r w:rsidR="00DB4026" w:rsidRPr="00FA71BE">
        <w:rPr>
          <w:rStyle w:val="FootnoteReference"/>
          <w:rFonts w:ascii="Times New Roman" w:hAnsi="Times New Roman" w:cs="Times New Roman"/>
          <w:sz w:val="24"/>
          <w:szCs w:val="24"/>
          <w:lang w:val="en-GB"/>
        </w:rPr>
        <w:footnoteReference w:id="6"/>
      </w:r>
      <w:r w:rsidR="00DB4026" w:rsidRPr="00FA71BE">
        <w:rPr>
          <w:rFonts w:ascii="Times New Roman" w:hAnsi="Times New Roman" w:cs="Times New Roman"/>
          <w:sz w:val="24"/>
          <w:szCs w:val="24"/>
          <w:lang w:val="en-GB"/>
        </w:rPr>
        <w:t xml:space="preserve">, due to even higher economic growth rates, </w:t>
      </w:r>
      <w:r w:rsidR="005D225B" w:rsidRPr="00FA71BE">
        <w:rPr>
          <w:rFonts w:ascii="Times New Roman" w:hAnsi="Times New Roman" w:cs="Times New Roman"/>
          <w:sz w:val="24"/>
          <w:szCs w:val="24"/>
          <w:lang w:val="en-GB"/>
        </w:rPr>
        <w:t>decline of unemployment-related expenditures, and elimination of net public debt (Goul Andersen, 2012).</w:t>
      </w:r>
    </w:p>
    <w:p w:rsidR="005D225B" w:rsidRPr="00060E7A" w:rsidRDefault="005D225B" w:rsidP="00C61789">
      <w:pPr>
        <w:rPr>
          <w:rFonts w:ascii="Times New Roman" w:hAnsi="Times New Roman" w:cs="Times New Roman"/>
          <w:sz w:val="24"/>
          <w:szCs w:val="24"/>
          <w:lang w:val="en-GB"/>
        </w:rPr>
      </w:pPr>
      <w:r w:rsidRPr="00060E7A">
        <w:rPr>
          <w:rFonts w:ascii="Times New Roman" w:hAnsi="Times New Roman" w:cs="Times New Roman"/>
          <w:sz w:val="24"/>
          <w:szCs w:val="24"/>
          <w:lang w:val="en-GB"/>
        </w:rPr>
        <w:t>After two decades of mass unem</w:t>
      </w:r>
      <w:r w:rsidR="00FA71BE">
        <w:rPr>
          <w:rFonts w:ascii="Times New Roman" w:hAnsi="Times New Roman" w:cs="Times New Roman"/>
          <w:sz w:val="24"/>
          <w:szCs w:val="24"/>
          <w:lang w:val="en-GB"/>
        </w:rPr>
        <w:t>ployment 1975-1995, removing</w:t>
      </w:r>
      <w:r w:rsidRPr="00060E7A">
        <w:rPr>
          <w:rFonts w:ascii="Times New Roman" w:hAnsi="Times New Roman" w:cs="Times New Roman"/>
          <w:sz w:val="24"/>
          <w:szCs w:val="24"/>
          <w:lang w:val="en-GB"/>
        </w:rPr>
        <w:t xml:space="preserve"> </w:t>
      </w:r>
      <w:r w:rsidR="00523663" w:rsidRPr="00060E7A">
        <w:rPr>
          <w:rFonts w:ascii="Times New Roman" w:hAnsi="Times New Roman" w:cs="Times New Roman"/>
          <w:sz w:val="24"/>
          <w:szCs w:val="24"/>
          <w:lang w:val="en-GB"/>
        </w:rPr>
        <w:t xml:space="preserve">the structural imbalance </w:t>
      </w:r>
      <w:r w:rsidR="00DB4026" w:rsidRPr="00060E7A">
        <w:rPr>
          <w:rFonts w:ascii="Times New Roman" w:hAnsi="Times New Roman" w:cs="Times New Roman"/>
          <w:sz w:val="24"/>
          <w:szCs w:val="24"/>
          <w:lang w:val="en-GB"/>
        </w:rPr>
        <w:t>of a permanent</w:t>
      </w:r>
      <w:r w:rsidR="00523663" w:rsidRPr="00060E7A">
        <w:rPr>
          <w:rFonts w:ascii="Times New Roman" w:hAnsi="Times New Roman" w:cs="Times New Roman"/>
          <w:sz w:val="24"/>
          <w:szCs w:val="24"/>
          <w:lang w:val="en-GB"/>
        </w:rPr>
        <w:t xml:space="preserve"> </w:t>
      </w:r>
      <w:r w:rsidRPr="00060E7A">
        <w:rPr>
          <w:rFonts w:ascii="Times New Roman" w:hAnsi="Times New Roman" w:cs="Times New Roman"/>
          <w:sz w:val="24"/>
          <w:szCs w:val="24"/>
          <w:lang w:val="en-GB"/>
        </w:rPr>
        <w:t xml:space="preserve">current account deficit </w:t>
      </w:r>
      <w:r w:rsidR="00FA71BE">
        <w:rPr>
          <w:rFonts w:ascii="Times New Roman" w:hAnsi="Times New Roman" w:cs="Times New Roman"/>
          <w:sz w:val="24"/>
          <w:szCs w:val="24"/>
          <w:lang w:val="en-GB"/>
        </w:rPr>
        <w:t>which</w:t>
      </w:r>
      <w:r w:rsidR="00AB5598" w:rsidRPr="00060E7A">
        <w:rPr>
          <w:rFonts w:ascii="Times New Roman" w:hAnsi="Times New Roman" w:cs="Times New Roman"/>
          <w:sz w:val="24"/>
          <w:szCs w:val="24"/>
          <w:lang w:val="en-GB"/>
        </w:rPr>
        <w:t xml:space="preserve"> had haunted the Danish economy for three decades </w:t>
      </w:r>
      <w:r w:rsidRPr="00060E7A">
        <w:rPr>
          <w:rFonts w:ascii="Times New Roman" w:hAnsi="Times New Roman" w:cs="Times New Roman"/>
          <w:sz w:val="24"/>
          <w:szCs w:val="24"/>
          <w:lang w:val="en-GB"/>
        </w:rPr>
        <w:t>allowed the economy to expand</w:t>
      </w:r>
      <w:r w:rsidR="00523663" w:rsidRPr="00060E7A">
        <w:rPr>
          <w:rFonts w:ascii="Times New Roman" w:hAnsi="Times New Roman" w:cs="Times New Roman"/>
          <w:sz w:val="24"/>
          <w:szCs w:val="24"/>
          <w:lang w:val="en-GB"/>
        </w:rPr>
        <w:t xml:space="preserve">. This was </w:t>
      </w:r>
      <w:r w:rsidRPr="00060E7A">
        <w:rPr>
          <w:rFonts w:ascii="Times New Roman" w:hAnsi="Times New Roman" w:cs="Times New Roman"/>
          <w:sz w:val="24"/>
          <w:szCs w:val="24"/>
          <w:lang w:val="en-GB"/>
        </w:rPr>
        <w:t xml:space="preserve">further </w:t>
      </w:r>
      <w:r w:rsidR="00FA71BE" w:rsidRPr="00060E7A">
        <w:rPr>
          <w:rFonts w:ascii="Times New Roman" w:hAnsi="Times New Roman" w:cs="Times New Roman"/>
          <w:sz w:val="24"/>
          <w:szCs w:val="24"/>
          <w:lang w:val="en-GB"/>
        </w:rPr>
        <w:t>catalysed</w:t>
      </w:r>
      <w:r w:rsidRPr="00060E7A">
        <w:rPr>
          <w:rFonts w:ascii="Times New Roman" w:hAnsi="Times New Roman" w:cs="Times New Roman"/>
          <w:sz w:val="24"/>
          <w:szCs w:val="24"/>
          <w:lang w:val="en-GB"/>
        </w:rPr>
        <w:t xml:space="preserve"> by </w:t>
      </w:r>
      <w:r w:rsidR="00523663" w:rsidRPr="00060E7A">
        <w:rPr>
          <w:rFonts w:ascii="Times New Roman" w:hAnsi="Times New Roman" w:cs="Times New Roman"/>
          <w:sz w:val="24"/>
          <w:szCs w:val="24"/>
          <w:lang w:val="en-GB"/>
        </w:rPr>
        <w:t xml:space="preserve">increasing oil production. </w:t>
      </w:r>
      <w:r w:rsidR="00AB5598" w:rsidRPr="00060E7A">
        <w:rPr>
          <w:rFonts w:ascii="Times New Roman" w:hAnsi="Times New Roman" w:cs="Times New Roman"/>
          <w:sz w:val="24"/>
          <w:szCs w:val="24"/>
          <w:lang w:val="en-GB"/>
        </w:rPr>
        <w:t>Since 1993, Denmark has been a net oil exporting country, and from 1996 to 2012 Denmark had a net export of energy altogether (Energistyrelsen, 2014: 4-5). Even though oil production by 2013 had declined 53 per cent since it</w:t>
      </w:r>
      <w:r w:rsidR="00DB4026" w:rsidRPr="00060E7A">
        <w:rPr>
          <w:rFonts w:ascii="Times New Roman" w:hAnsi="Times New Roman" w:cs="Times New Roman"/>
          <w:sz w:val="24"/>
          <w:szCs w:val="24"/>
          <w:lang w:val="en-GB"/>
        </w:rPr>
        <w:t xml:space="preserve"> peaked in 2004</w:t>
      </w:r>
      <w:r w:rsidRPr="00060E7A">
        <w:rPr>
          <w:rFonts w:ascii="Times New Roman" w:hAnsi="Times New Roman" w:cs="Times New Roman"/>
          <w:sz w:val="24"/>
          <w:szCs w:val="24"/>
          <w:lang w:val="en-GB"/>
        </w:rPr>
        <w:t xml:space="preserve">, </w:t>
      </w:r>
      <w:r w:rsidR="00AB5598" w:rsidRPr="00060E7A">
        <w:rPr>
          <w:rFonts w:ascii="Times New Roman" w:hAnsi="Times New Roman" w:cs="Times New Roman"/>
          <w:sz w:val="24"/>
          <w:szCs w:val="24"/>
          <w:lang w:val="en-GB"/>
        </w:rPr>
        <w:t xml:space="preserve">it contributed to maintaining a permanent </w:t>
      </w:r>
      <w:r w:rsidR="002D285E" w:rsidRPr="00060E7A">
        <w:rPr>
          <w:rFonts w:ascii="Times New Roman" w:hAnsi="Times New Roman" w:cs="Times New Roman"/>
          <w:sz w:val="24"/>
          <w:szCs w:val="24"/>
          <w:lang w:val="en-GB"/>
        </w:rPr>
        <w:t xml:space="preserve">current account surplus from 1990 </w:t>
      </w:r>
      <w:r w:rsidR="00FA71BE">
        <w:rPr>
          <w:rFonts w:ascii="Times New Roman" w:hAnsi="Times New Roman" w:cs="Times New Roman"/>
          <w:sz w:val="24"/>
          <w:szCs w:val="24"/>
          <w:lang w:val="en-GB"/>
        </w:rPr>
        <w:t>until</w:t>
      </w:r>
      <w:r w:rsidR="002D285E" w:rsidRPr="00060E7A">
        <w:rPr>
          <w:rFonts w:ascii="Times New Roman" w:hAnsi="Times New Roman" w:cs="Times New Roman"/>
          <w:sz w:val="24"/>
          <w:szCs w:val="24"/>
          <w:lang w:val="en-GB"/>
        </w:rPr>
        <w:t xml:space="preserve"> the time of writing, with </w:t>
      </w:r>
      <w:r w:rsidR="00C61789" w:rsidRPr="00060E7A">
        <w:rPr>
          <w:rFonts w:ascii="Times New Roman" w:hAnsi="Times New Roman" w:cs="Times New Roman"/>
          <w:sz w:val="24"/>
          <w:szCs w:val="24"/>
          <w:lang w:val="en-GB"/>
        </w:rPr>
        <w:t xml:space="preserve">the exception of </w:t>
      </w:r>
      <w:r w:rsidR="002D285E" w:rsidRPr="00060E7A">
        <w:rPr>
          <w:rFonts w:ascii="Times New Roman" w:hAnsi="Times New Roman" w:cs="Times New Roman"/>
          <w:sz w:val="24"/>
          <w:szCs w:val="24"/>
          <w:lang w:val="en-GB"/>
        </w:rPr>
        <w:t xml:space="preserve">a negligible deficit in 1998. </w:t>
      </w:r>
      <w:r w:rsidR="00C61789" w:rsidRPr="00060E7A">
        <w:rPr>
          <w:rFonts w:ascii="Times New Roman" w:hAnsi="Times New Roman" w:cs="Times New Roman"/>
          <w:sz w:val="24"/>
          <w:szCs w:val="24"/>
          <w:lang w:val="en-GB"/>
        </w:rPr>
        <w:t>Foreign debt was paid back, and Denmark’s NIIP (Net International Investment Position) turned positive from the mid-</w:t>
      </w:r>
      <w:r w:rsidR="002D285E" w:rsidRPr="00060E7A">
        <w:rPr>
          <w:rFonts w:ascii="Times New Roman" w:hAnsi="Times New Roman" w:cs="Times New Roman"/>
          <w:sz w:val="24"/>
          <w:szCs w:val="24"/>
          <w:lang w:val="en-GB"/>
        </w:rPr>
        <w:t xml:space="preserve"> 2000s</w:t>
      </w:r>
      <w:r w:rsidR="00C61789" w:rsidRPr="00060E7A">
        <w:rPr>
          <w:rFonts w:ascii="Times New Roman" w:hAnsi="Times New Roman" w:cs="Times New Roman"/>
          <w:sz w:val="24"/>
          <w:szCs w:val="24"/>
          <w:lang w:val="en-GB"/>
        </w:rPr>
        <w:t>.</w:t>
      </w:r>
      <w:r w:rsidR="00FA71BE">
        <w:rPr>
          <w:rFonts w:ascii="Times New Roman" w:hAnsi="Times New Roman" w:cs="Times New Roman"/>
          <w:sz w:val="24"/>
          <w:szCs w:val="24"/>
          <w:lang w:val="en-GB"/>
        </w:rPr>
        <w:t xml:space="preserve"> As payments on foreign debt have</w:t>
      </w:r>
      <w:r w:rsidR="00C61789" w:rsidRPr="00060E7A">
        <w:rPr>
          <w:rFonts w:ascii="Times New Roman" w:hAnsi="Times New Roman" w:cs="Times New Roman"/>
          <w:sz w:val="24"/>
          <w:szCs w:val="24"/>
          <w:lang w:val="en-GB"/>
        </w:rPr>
        <w:t xml:space="preserve"> been replaced by </w:t>
      </w:r>
      <w:r w:rsidR="002D285E" w:rsidRPr="00060E7A">
        <w:rPr>
          <w:rFonts w:ascii="Times New Roman" w:hAnsi="Times New Roman" w:cs="Times New Roman"/>
          <w:sz w:val="24"/>
          <w:szCs w:val="24"/>
          <w:lang w:val="en-GB"/>
        </w:rPr>
        <w:t xml:space="preserve">substantial revenues from net foreign investments, </w:t>
      </w:r>
      <w:r w:rsidR="002B420C" w:rsidRPr="00060E7A">
        <w:rPr>
          <w:rFonts w:ascii="Times New Roman" w:hAnsi="Times New Roman" w:cs="Times New Roman"/>
          <w:sz w:val="24"/>
          <w:szCs w:val="24"/>
          <w:lang w:val="en-GB"/>
        </w:rPr>
        <w:t>GNI (</w:t>
      </w:r>
      <w:r w:rsidR="002D285E" w:rsidRPr="00060E7A">
        <w:rPr>
          <w:rFonts w:ascii="Times New Roman" w:hAnsi="Times New Roman" w:cs="Times New Roman"/>
          <w:sz w:val="24"/>
          <w:szCs w:val="24"/>
          <w:lang w:val="en-GB"/>
        </w:rPr>
        <w:t>Gross National Income</w:t>
      </w:r>
      <w:r w:rsidR="002B420C" w:rsidRPr="00060E7A">
        <w:rPr>
          <w:rFonts w:ascii="Times New Roman" w:hAnsi="Times New Roman" w:cs="Times New Roman"/>
          <w:sz w:val="24"/>
          <w:szCs w:val="24"/>
          <w:lang w:val="en-GB"/>
        </w:rPr>
        <w:t>)</w:t>
      </w:r>
      <w:r w:rsidR="002D285E" w:rsidRPr="00060E7A">
        <w:rPr>
          <w:rFonts w:ascii="Times New Roman" w:hAnsi="Times New Roman" w:cs="Times New Roman"/>
          <w:sz w:val="24"/>
          <w:szCs w:val="24"/>
          <w:lang w:val="en-GB"/>
        </w:rPr>
        <w:t xml:space="preserve"> </w:t>
      </w:r>
      <w:r w:rsidR="00FA71BE">
        <w:rPr>
          <w:rFonts w:ascii="Times New Roman" w:hAnsi="Times New Roman" w:cs="Times New Roman"/>
          <w:sz w:val="24"/>
          <w:szCs w:val="24"/>
          <w:lang w:val="en-GB"/>
        </w:rPr>
        <w:t>has seen</w:t>
      </w:r>
      <w:r w:rsidR="00C61789" w:rsidRPr="00060E7A">
        <w:rPr>
          <w:rFonts w:ascii="Times New Roman" w:hAnsi="Times New Roman" w:cs="Times New Roman"/>
          <w:sz w:val="24"/>
          <w:szCs w:val="24"/>
          <w:lang w:val="en-GB"/>
        </w:rPr>
        <w:t xml:space="preserve"> a substantially larger increase than the </w:t>
      </w:r>
      <w:r w:rsidR="002B420C" w:rsidRPr="00060E7A">
        <w:rPr>
          <w:rFonts w:ascii="Times New Roman" w:hAnsi="Times New Roman" w:cs="Times New Roman"/>
          <w:sz w:val="24"/>
          <w:szCs w:val="24"/>
          <w:lang w:val="en-GB"/>
        </w:rPr>
        <w:t>GDP (</w:t>
      </w:r>
      <w:r w:rsidR="00C61789" w:rsidRPr="00060E7A">
        <w:rPr>
          <w:rFonts w:ascii="Times New Roman" w:hAnsi="Times New Roman" w:cs="Times New Roman"/>
          <w:sz w:val="24"/>
          <w:szCs w:val="24"/>
          <w:lang w:val="en-GB"/>
        </w:rPr>
        <w:t xml:space="preserve">Gross </w:t>
      </w:r>
      <w:r w:rsidR="002B420C" w:rsidRPr="00060E7A">
        <w:rPr>
          <w:rFonts w:ascii="Times New Roman" w:hAnsi="Times New Roman" w:cs="Times New Roman"/>
          <w:sz w:val="24"/>
          <w:szCs w:val="24"/>
          <w:lang w:val="en-GB"/>
        </w:rPr>
        <w:t xml:space="preserve">Domestic </w:t>
      </w:r>
      <w:r w:rsidR="002D285E" w:rsidRPr="00060E7A">
        <w:rPr>
          <w:rFonts w:ascii="Times New Roman" w:hAnsi="Times New Roman" w:cs="Times New Roman"/>
          <w:sz w:val="24"/>
          <w:szCs w:val="24"/>
          <w:lang w:val="en-GB"/>
        </w:rPr>
        <w:t>Product</w:t>
      </w:r>
      <w:r w:rsidR="002B420C" w:rsidRPr="00060E7A">
        <w:rPr>
          <w:rFonts w:ascii="Times New Roman" w:hAnsi="Times New Roman" w:cs="Times New Roman"/>
          <w:sz w:val="24"/>
          <w:szCs w:val="24"/>
          <w:lang w:val="en-GB"/>
        </w:rPr>
        <w:t>)</w:t>
      </w:r>
      <w:r w:rsidR="00AB5598" w:rsidRPr="00060E7A">
        <w:rPr>
          <w:rFonts w:ascii="Times New Roman" w:hAnsi="Times New Roman" w:cs="Times New Roman"/>
          <w:sz w:val="24"/>
          <w:szCs w:val="24"/>
          <w:lang w:val="en-GB"/>
        </w:rPr>
        <w:t xml:space="preserve"> (Goul Andersen, 2013: </w:t>
      </w:r>
      <w:r w:rsidR="0016167F" w:rsidRPr="00060E7A">
        <w:rPr>
          <w:rFonts w:ascii="Times New Roman" w:hAnsi="Times New Roman" w:cs="Times New Roman"/>
          <w:sz w:val="24"/>
          <w:szCs w:val="24"/>
          <w:lang w:val="en-GB"/>
        </w:rPr>
        <w:t>63</w:t>
      </w:r>
      <w:r w:rsidR="00AB5598" w:rsidRPr="00060E7A">
        <w:rPr>
          <w:rFonts w:ascii="Times New Roman" w:hAnsi="Times New Roman" w:cs="Times New Roman"/>
          <w:sz w:val="24"/>
          <w:szCs w:val="24"/>
          <w:lang w:val="en-GB"/>
        </w:rPr>
        <w:t>)</w:t>
      </w:r>
      <w:r w:rsidR="002D285E" w:rsidRPr="00060E7A">
        <w:rPr>
          <w:rFonts w:ascii="Times New Roman" w:hAnsi="Times New Roman" w:cs="Times New Roman"/>
          <w:sz w:val="24"/>
          <w:szCs w:val="24"/>
          <w:lang w:val="en-GB"/>
        </w:rPr>
        <w:t xml:space="preserve">. </w:t>
      </w:r>
    </w:p>
    <w:p w:rsidR="0023586A" w:rsidRPr="00060E7A" w:rsidRDefault="0023586A" w:rsidP="00F9346A">
      <w:pPr>
        <w:spacing w:after="0" w:line="240" w:lineRule="auto"/>
        <w:rPr>
          <w:rFonts w:ascii="Times New Roman" w:hAnsi="Times New Roman" w:cs="Times New Roman"/>
          <w:sz w:val="20"/>
          <w:szCs w:val="20"/>
          <w:lang w:val="en-GB"/>
        </w:rPr>
      </w:pPr>
      <w:r w:rsidRPr="00060E7A">
        <w:rPr>
          <w:rFonts w:ascii="Times New Roman" w:hAnsi="Times New Roman" w:cs="Times New Roman"/>
          <w:noProof/>
          <w:sz w:val="20"/>
          <w:szCs w:val="20"/>
          <w:lang w:val="en-GB" w:eastAsia="en-GB"/>
        </w:rPr>
        <w:drawing>
          <wp:inline distT="0" distB="0" distL="0" distR="0" wp14:anchorId="388F933A" wp14:editId="770FE4A5">
            <wp:extent cx="5826579" cy="3062514"/>
            <wp:effectExtent l="19050" t="0" r="21771" b="4536"/>
            <wp:docPr id="3"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3663" w:rsidRPr="00060E7A" w:rsidRDefault="0023586A" w:rsidP="00F9346A">
      <w:pPr>
        <w:spacing w:after="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National figures: Register data; net unemployment: not including activated.</w:t>
      </w:r>
      <w:r w:rsidR="00E07B61" w:rsidRPr="00060E7A">
        <w:rPr>
          <w:rFonts w:ascii="Times New Roman" w:hAnsi="Times New Roman" w:cs="Times New Roman"/>
          <w:sz w:val="20"/>
          <w:szCs w:val="20"/>
          <w:lang w:val="en-GB"/>
        </w:rPr>
        <w:t xml:space="preserve"> </w:t>
      </w:r>
      <w:hyperlink r:id="rId10" w:history="1">
        <w:r w:rsidR="00E07B61" w:rsidRPr="00060E7A">
          <w:rPr>
            <w:rStyle w:val="Hyperlink"/>
            <w:rFonts w:ascii="Times New Roman" w:hAnsi="Times New Roman" w:cs="Times New Roman"/>
            <w:sz w:val="20"/>
            <w:szCs w:val="20"/>
            <w:lang w:val="en-GB"/>
          </w:rPr>
          <w:t>www.statistikbanken.dk</w:t>
        </w:r>
      </w:hyperlink>
      <w:r w:rsidR="00E07B61" w:rsidRPr="00060E7A">
        <w:rPr>
          <w:rFonts w:ascii="Times New Roman" w:hAnsi="Times New Roman" w:cs="Times New Roman"/>
          <w:sz w:val="20"/>
          <w:szCs w:val="20"/>
          <w:lang w:val="en-GB"/>
        </w:rPr>
        <w:t xml:space="preserve"> (table AULAAR)</w:t>
      </w:r>
    </w:p>
    <w:p w:rsidR="0023586A" w:rsidRPr="00060E7A" w:rsidRDefault="0023586A" w:rsidP="00F9346A">
      <w:pPr>
        <w:spacing w:after="0" w:line="240" w:lineRule="auto"/>
        <w:rPr>
          <w:rFonts w:ascii="Times New Roman" w:hAnsi="Times New Roman" w:cs="Times New Roman"/>
          <w:sz w:val="20"/>
          <w:szCs w:val="20"/>
          <w:lang w:val="en-GB"/>
        </w:rPr>
      </w:pPr>
      <w:r w:rsidRPr="007A444C">
        <w:rPr>
          <w:rFonts w:ascii="Times New Roman" w:hAnsi="Times New Roman" w:cs="Times New Roman"/>
          <w:sz w:val="20"/>
          <w:szCs w:val="20"/>
          <w:lang w:val="fr-BE"/>
        </w:rPr>
        <w:t xml:space="preserve">Eurostat figures: European Labour Force Surveys. </w:t>
      </w:r>
      <w:r w:rsidRPr="00060E7A">
        <w:rPr>
          <w:rFonts w:ascii="Times New Roman" w:hAnsi="Times New Roman" w:cs="Times New Roman"/>
          <w:sz w:val="20"/>
          <w:szCs w:val="20"/>
          <w:lang w:val="en-GB"/>
        </w:rPr>
        <w:t>Including active job see</w:t>
      </w:r>
      <w:r w:rsidR="00E07B61" w:rsidRPr="00060E7A">
        <w:rPr>
          <w:rFonts w:ascii="Times New Roman" w:hAnsi="Times New Roman" w:cs="Times New Roman"/>
          <w:sz w:val="20"/>
          <w:szCs w:val="20"/>
          <w:lang w:val="en-GB"/>
        </w:rPr>
        <w:t>kers, whether registered or not (table tsdec450).</w:t>
      </w:r>
    </w:p>
    <w:p w:rsidR="0023586A" w:rsidRPr="00060E7A" w:rsidRDefault="0023586A" w:rsidP="00D95423">
      <w:pPr>
        <w:rPr>
          <w:rFonts w:ascii="Times New Roman" w:hAnsi="Times New Roman" w:cs="Times New Roman"/>
          <w:sz w:val="24"/>
          <w:szCs w:val="24"/>
          <w:lang w:val="en-GB"/>
        </w:rPr>
      </w:pPr>
    </w:p>
    <w:p w:rsidR="00CE182A" w:rsidRPr="00060E7A" w:rsidRDefault="002D285E"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The Danish employment miracle lasted until 200</w:t>
      </w:r>
      <w:r w:rsidR="0023586A" w:rsidRPr="00060E7A">
        <w:rPr>
          <w:rFonts w:ascii="Times New Roman" w:hAnsi="Times New Roman" w:cs="Times New Roman"/>
          <w:sz w:val="24"/>
          <w:szCs w:val="24"/>
          <w:lang w:val="en-GB"/>
        </w:rPr>
        <w:t xml:space="preserve">8 and ended with the first experience of full employment since 1973. National and Eurostat figures provide a somewhat different picture, however. Presumably because of a large number of </w:t>
      </w:r>
      <w:r w:rsidR="00FF193B" w:rsidRPr="00060E7A">
        <w:rPr>
          <w:rFonts w:ascii="Times New Roman" w:hAnsi="Times New Roman" w:cs="Times New Roman"/>
          <w:sz w:val="24"/>
          <w:szCs w:val="24"/>
          <w:lang w:val="en-GB"/>
        </w:rPr>
        <w:t>“</w:t>
      </w:r>
      <w:r w:rsidR="0023586A" w:rsidRPr="00060E7A">
        <w:rPr>
          <w:rFonts w:ascii="Times New Roman" w:hAnsi="Times New Roman" w:cs="Times New Roman"/>
          <w:sz w:val="24"/>
          <w:szCs w:val="24"/>
          <w:lang w:val="en-GB"/>
        </w:rPr>
        <w:t>discouraged workers</w:t>
      </w:r>
      <w:r w:rsidR="00FF193B" w:rsidRPr="00060E7A">
        <w:rPr>
          <w:rFonts w:ascii="Times New Roman" w:hAnsi="Times New Roman" w:cs="Times New Roman"/>
          <w:sz w:val="24"/>
          <w:szCs w:val="24"/>
          <w:lang w:val="en-GB"/>
        </w:rPr>
        <w:t>”</w:t>
      </w:r>
      <w:r w:rsidR="0023586A" w:rsidRPr="00060E7A">
        <w:rPr>
          <w:rFonts w:ascii="Times New Roman" w:hAnsi="Times New Roman" w:cs="Times New Roman"/>
          <w:sz w:val="24"/>
          <w:szCs w:val="24"/>
          <w:lang w:val="en-GB"/>
        </w:rPr>
        <w:t xml:space="preserve">, the survey based figures from the 1990s were considerably lower than the official figures. </w:t>
      </w:r>
      <w:r w:rsidR="00CE182A" w:rsidRPr="00060E7A">
        <w:rPr>
          <w:rFonts w:ascii="Times New Roman" w:hAnsi="Times New Roman" w:cs="Times New Roman"/>
          <w:sz w:val="24"/>
          <w:szCs w:val="24"/>
          <w:lang w:val="en-GB"/>
        </w:rPr>
        <w:t>From 2007 it was the other way around. According to the national figures, unemployment remained rather low during the great recession; according to the labour force surveys, unemployment approached the peak value of the early 1990s. From 2009 the main official figure has included unemployed who were activated, bringing the (gross) unemployment rate about two percentage points higher than the official net unemployment rates in Figure 2. Still, a discrepancy remains vis-à-vis the figures from the labour force survey. Around the 2011 election, this brought quite some confusion: Was the unemployment rate rather low, around 4 per cent (official net unemployment rate), was it around 6 per cent (official gross unemployment rate), or was it alarmingly high (close to 8 per cent, and the highest for nearly 20 years, according to the labour force survey)?</w:t>
      </w:r>
    </w:p>
    <w:p w:rsidR="00FF193B" w:rsidRPr="00060E7A" w:rsidRDefault="00FF193B" w:rsidP="00654484">
      <w:pPr>
        <w:spacing w:after="0" w:line="240" w:lineRule="auto"/>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 xml:space="preserve">Table </w:t>
      </w:r>
      <w:r w:rsidR="00654484" w:rsidRPr="00060E7A">
        <w:rPr>
          <w:rFonts w:ascii="Times New Roman" w:hAnsi="Times New Roman" w:cs="Times New Roman"/>
          <w:b/>
          <w:bCs/>
          <w:sz w:val="24"/>
          <w:szCs w:val="24"/>
          <w:lang w:val="en-GB"/>
        </w:rPr>
        <w:t>1</w:t>
      </w:r>
      <w:r w:rsidRPr="00060E7A">
        <w:rPr>
          <w:rFonts w:ascii="Times New Roman" w:hAnsi="Times New Roman" w:cs="Times New Roman"/>
          <w:b/>
          <w:bCs/>
          <w:sz w:val="24"/>
          <w:szCs w:val="24"/>
          <w:lang w:val="en-GB"/>
        </w:rPr>
        <w:t>. Current Account surplus as per cent of GDP, 2005-2014.</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384"/>
        <w:gridCol w:w="2030"/>
        <w:gridCol w:w="630"/>
        <w:gridCol w:w="630"/>
        <w:gridCol w:w="610"/>
        <w:gridCol w:w="610"/>
        <w:gridCol w:w="610"/>
        <w:gridCol w:w="610"/>
      </w:tblGrid>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FF193B" w:rsidRPr="00060E7A" w:rsidRDefault="00FF193B" w:rsidP="00FF193B">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2005-2008 average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2009 </w:t>
            </w:r>
          </w:p>
        </w:tc>
        <w:tc>
          <w:tcPr>
            <w:tcW w:w="0" w:type="auto"/>
            <w:tcBorders>
              <w:top w:val="single" w:sz="8" w:space="0" w:color="000000"/>
              <w:left w:val="single" w:sz="8" w:space="0" w:color="000000"/>
              <w:bottom w:val="single" w:sz="8" w:space="0" w:color="000000"/>
              <w:right w:val="single" w:sz="8" w:space="0" w:color="000000"/>
            </w:tcBorders>
            <w:shd w:val="clear" w:color="auto" w:fill="9ED3D7"/>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2010 </w:t>
            </w:r>
          </w:p>
        </w:tc>
        <w:tc>
          <w:tcPr>
            <w:tcW w:w="0" w:type="auto"/>
            <w:tcBorders>
              <w:top w:val="single" w:sz="8" w:space="0" w:color="000000"/>
              <w:left w:val="single" w:sz="8" w:space="0" w:color="000000"/>
              <w:bottom w:val="single" w:sz="8" w:space="0" w:color="000000"/>
              <w:right w:val="single" w:sz="8" w:space="0" w:color="000000"/>
            </w:tcBorders>
            <w:shd w:val="clear" w:color="auto" w:fill="9ED3D7"/>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2011 </w:t>
            </w:r>
          </w:p>
        </w:tc>
        <w:tc>
          <w:tcPr>
            <w:tcW w:w="0" w:type="auto"/>
            <w:tcBorders>
              <w:top w:val="single" w:sz="8" w:space="0" w:color="000000"/>
              <w:left w:val="single" w:sz="8" w:space="0" w:color="000000"/>
              <w:bottom w:val="single" w:sz="8" w:space="0" w:color="000000"/>
              <w:right w:val="single" w:sz="8" w:space="0" w:color="000000"/>
            </w:tcBorders>
            <w:shd w:val="clear" w:color="auto" w:fill="9ED3D7"/>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2012 </w:t>
            </w:r>
          </w:p>
        </w:tc>
        <w:tc>
          <w:tcPr>
            <w:tcW w:w="0" w:type="auto"/>
            <w:tcBorders>
              <w:top w:val="single" w:sz="8" w:space="0" w:color="000000"/>
              <w:left w:val="single" w:sz="8" w:space="0" w:color="000000"/>
              <w:bottom w:val="single" w:sz="8" w:space="0" w:color="000000"/>
              <w:right w:val="single" w:sz="8" w:space="0" w:color="000000"/>
            </w:tcBorders>
            <w:shd w:val="clear" w:color="auto" w:fill="9ED3D7"/>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2013 </w:t>
            </w:r>
          </w:p>
        </w:tc>
        <w:tc>
          <w:tcPr>
            <w:tcW w:w="0" w:type="auto"/>
            <w:tcBorders>
              <w:top w:val="single" w:sz="8" w:space="0" w:color="000000"/>
              <w:left w:val="single" w:sz="8" w:space="0" w:color="000000"/>
              <w:bottom w:val="single" w:sz="8" w:space="0" w:color="000000"/>
              <w:right w:val="single" w:sz="8" w:space="0" w:color="000000"/>
            </w:tcBorders>
            <w:shd w:val="clear" w:color="auto" w:fill="9ED3D7"/>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2014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Denmark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5,6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7,3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6,3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Sweden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6,6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7,3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6,3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Finland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-1,9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Norway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11,9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12,4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12,4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10,0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8,5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Iceland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-11,7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-4,4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5,8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3,6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Germany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6,2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6,9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6,6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7,8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Netherlands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7,5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8,8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11,0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11,0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10,3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Belgium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1,8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France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Italy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-0,4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1,8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Spain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-4,8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-0,3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1,4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0,8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Greece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-11,1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-9,9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-9,9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-2,5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0,6 </w:t>
            </w:r>
          </w:p>
        </w:tc>
        <w:tc>
          <w:tcPr>
            <w:tcW w:w="0" w:type="auto"/>
            <w:tcBorders>
              <w:top w:val="single" w:sz="8" w:space="0" w:color="000000"/>
              <w:left w:val="single" w:sz="8" w:space="0" w:color="000000"/>
              <w:bottom w:val="single" w:sz="8" w:space="0" w:color="000000"/>
              <w:right w:val="single" w:sz="8" w:space="0" w:color="000000"/>
            </w:tcBorders>
            <w:shd w:val="clear" w:color="auto" w:fill="99FF99"/>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0,9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Portugal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-10,9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0,6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Switzerland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14,0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9,9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10,7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7,0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Ireland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1,6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4,4 </w:t>
            </w:r>
          </w:p>
        </w:tc>
        <w:tc>
          <w:tcPr>
            <w:tcW w:w="0" w:type="auto"/>
            <w:tcBorders>
              <w:top w:val="single" w:sz="8" w:space="0" w:color="000000"/>
              <w:left w:val="single" w:sz="8" w:space="0" w:color="000000"/>
              <w:bottom w:val="single" w:sz="8" w:space="0" w:color="000000"/>
              <w:right w:val="single" w:sz="8" w:space="0" w:color="000000"/>
            </w:tcBorders>
            <w:shd w:val="clear" w:color="auto" w:fill="08CE8C"/>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6,2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U.K.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-3,7 </w:t>
            </w:r>
          </w:p>
        </w:tc>
        <w:tc>
          <w:tcPr>
            <w:tcW w:w="0" w:type="auto"/>
            <w:tcBorders>
              <w:top w:val="single" w:sz="8" w:space="0" w:color="000000"/>
              <w:left w:val="single" w:sz="8" w:space="0" w:color="000000"/>
              <w:bottom w:val="single" w:sz="8" w:space="0" w:color="000000"/>
              <w:right w:val="single" w:sz="8" w:space="0" w:color="000000"/>
            </w:tcBorders>
            <w:shd w:val="clear" w:color="auto" w:fill="FCD5B4"/>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-4,5 </w:t>
            </w:r>
          </w:p>
        </w:tc>
        <w:tc>
          <w:tcPr>
            <w:tcW w:w="0" w:type="auto"/>
            <w:tcBorders>
              <w:top w:val="single" w:sz="8" w:space="0" w:color="000000"/>
              <w:left w:val="single" w:sz="8" w:space="0" w:color="000000"/>
              <w:bottom w:val="single" w:sz="8" w:space="0" w:color="000000"/>
              <w:right w:val="single" w:sz="8" w:space="0" w:color="000000"/>
            </w:tcBorders>
            <w:shd w:val="clear" w:color="auto" w:fill="FCD5B4"/>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-5,5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USA </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-5,2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-2,6 </w:t>
            </w:r>
          </w:p>
        </w:tc>
      </w:tr>
      <w:tr w:rsidR="00FF193B" w:rsidRPr="00060E7A" w:rsidTr="00FF193B">
        <w:trPr>
          <w:trHeight w:val="6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Japan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4,0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1,0 </w:t>
            </w:r>
          </w:p>
        </w:tc>
        <w:tc>
          <w:tcPr>
            <w:tcW w:w="0" w:type="auto"/>
            <w:tcBorders>
              <w:top w:val="single" w:sz="8" w:space="0" w:color="000000"/>
              <w:left w:val="single" w:sz="8" w:space="0" w:color="000000"/>
              <w:bottom w:val="single" w:sz="8" w:space="0" w:color="000000"/>
              <w:right w:val="single" w:sz="8" w:space="0" w:color="000000"/>
            </w:tcBorders>
            <w:shd w:val="clear" w:color="auto" w:fill="D1FFE0"/>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0,8 </w:t>
            </w:r>
          </w:p>
        </w:tc>
        <w:tc>
          <w:tcPr>
            <w:tcW w:w="0" w:type="auto"/>
            <w:tcBorders>
              <w:top w:val="single" w:sz="8" w:space="0" w:color="000000"/>
              <w:left w:val="single" w:sz="8" w:space="0" w:color="000000"/>
              <w:bottom w:val="single" w:sz="8" w:space="0" w:color="000000"/>
              <w:right w:val="single" w:sz="8" w:space="0" w:color="000000"/>
            </w:tcBorders>
            <w:shd w:val="clear" w:color="auto" w:fill="D1FFE0"/>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0,5 </w:t>
            </w:r>
          </w:p>
        </w:tc>
      </w:tr>
      <w:tr w:rsidR="00FF193B" w:rsidRPr="00060E7A" w:rsidTr="00FF193B">
        <w:trPr>
          <w:trHeight w:val="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Turkey </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-9,6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-6,1 </w:t>
            </w:r>
          </w:p>
        </w:tc>
        <w:tc>
          <w:tcPr>
            <w:tcW w:w="0" w:type="auto"/>
            <w:tcBorders>
              <w:top w:val="single" w:sz="8" w:space="0" w:color="000000"/>
              <w:left w:val="single" w:sz="8" w:space="0" w:color="000000"/>
              <w:bottom w:val="single" w:sz="8" w:space="0" w:color="000000"/>
              <w:right w:val="single" w:sz="8" w:space="0" w:color="000000"/>
            </w:tcBorders>
            <w:shd w:val="clear" w:color="auto" w:fill="FCD5B4"/>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-7,9 </w:t>
            </w:r>
          </w:p>
        </w:tc>
        <w:tc>
          <w:tcPr>
            <w:tcW w:w="0" w:type="auto"/>
            <w:tcBorders>
              <w:top w:val="single" w:sz="8" w:space="0" w:color="000000"/>
              <w:left w:val="single" w:sz="8" w:space="0" w:color="000000"/>
              <w:bottom w:val="single" w:sz="8" w:space="0" w:color="000000"/>
              <w:right w:val="single" w:sz="8" w:space="0" w:color="000000"/>
            </w:tcBorders>
            <w:shd w:val="clear" w:color="auto" w:fill="FCD5B4"/>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-5,8 </w:t>
            </w:r>
          </w:p>
        </w:tc>
      </w:tr>
      <w:tr w:rsidR="00FF193B" w:rsidRPr="00060E7A" w:rsidTr="00FF193B">
        <w:trPr>
          <w:trHeight w:val="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Brazil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-3,9 </w:t>
            </w:r>
          </w:p>
        </w:tc>
      </w:tr>
      <w:tr w:rsidR="00FF193B" w:rsidRPr="00060E7A" w:rsidTr="00FF193B">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China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4,9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1,8 </w:t>
            </w:r>
          </w:p>
        </w:tc>
        <w:tc>
          <w:tcPr>
            <w:tcW w:w="0" w:type="auto"/>
            <w:tcBorders>
              <w:top w:val="single" w:sz="8" w:space="0" w:color="000000"/>
              <w:left w:val="single" w:sz="8" w:space="0" w:color="000000"/>
              <w:bottom w:val="single" w:sz="8" w:space="0" w:color="000000"/>
              <w:right w:val="single" w:sz="8" w:space="0" w:color="000000"/>
            </w:tcBorders>
            <w:shd w:val="clear" w:color="auto" w:fill="D1FFE0"/>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2,5 </w:t>
            </w:r>
          </w:p>
        </w:tc>
        <w:tc>
          <w:tcPr>
            <w:tcW w:w="0" w:type="auto"/>
            <w:tcBorders>
              <w:top w:val="single" w:sz="8" w:space="0" w:color="000000"/>
              <w:left w:val="single" w:sz="8" w:space="0" w:color="000000"/>
              <w:bottom w:val="single" w:sz="8" w:space="0" w:color="000000"/>
              <w:right w:val="single" w:sz="8" w:space="0" w:color="000000"/>
            </w:tcBorders>
            <w:shd w:val="clear" w:color="auto" w:fill="DAEDEF"/>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1,6 </w:t>
            </w:r>
          </w:p>
        </w:tc>
        <w:tc>
          <w:tcPr>
            <w:tcW w:w="0" w:type="auto"/>
            <w:tcBorders>
              <w:top w:val="single" w:sz="8" w:space="0" w:color="000000"/>
              <w:left w:val="single" w:sz="8" w:space="0" w:color="000000"/>
              <w:bottom w:val="single" w:sz="8" w:space="0" w:color="000000"/>
              <w:right w:val="single" w:sz="8" w:space="0" w:color="000000"/>
            </w:tcBorders>
            <w:shd w:val="clear" w:color="auto" w:fill="DAEDEF"/>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2,1 </w:t>
            </w:r>
          </w:p>
        </w:tc>
      </w:tr>
      <w:tr w:rsidR="00FF193B" w:rsidRPr="00060E7A" w:rsidTr="00FF193B">
        <w:trPr>
          <w:trHeight w:val="9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Russia </w:t>
            </w:r>
          </w:p>
        </w:tc>
        <w:tc>
          <w:tcPr>
            <w:tcW w:w="0" w:type="auto"/>
            <w:tcBorders>
              <w:top w:val="single" w:sz="8" w:space="0" w:color="000000"/>
              <w:left w:val="single" w:sz="8" w:space="0" w:color="000000"/>
              <w:bottom w:val="single" w:sz="8" w:space="0" w:color="000000"/>
              <w:right w:val="single" w:sz="8" w:space="0" w:color="000000"/>
            </w:tcBorders>
            <w:shd w:val="clear" w:color="auto" w:fill="00D67F"/>
            <w:tcMar>
              <w:top w:w="14" w:type="dxa"/>
              <w:left w:w="65" w:type="dxa"/>
              <w:bottom w:w="0" w:type="dxa"/>
              <w:right w:w="65" w:type="dxa"/>
            </w:tcMar>
            <w:vAlign w:val="center"/>
            <w:hideMark/>
          </w:tcPr>
          <w:p w:rsidR="009C0C45" w:rsidRPr="00060E7A" w:rsidRDefault="00FF193B" w:rsidP="00FF193B">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8,3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4,1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5,1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1,7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 w:type="dxa"/>
              <w:left w:w="65" w:type="dxa"/>
              <w:bottom w:w="0" w:type="dxa"/>
              <w:right w:w="65" w:type="dxa"/>
            </w:tcMar>
            <w:vAlign w:val="center"/>
            <w:hideMark/>
          </w:tcPr>
          <w:p w:rsidR="009C0C45" w:rsidRPr="00060E7A" w:rsidRDefault="00FF193B" w:rsidP="00FF193B">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3,3 </w:t>
            </w:r>
          </w:p>
        </w:tc>
      </w:tr>
    </w:tbl>
    <w:p w:rsidR="00FF193B" w:rsidRPr="00060E7A" w:rsidRDefault="00FF193B"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br w:type="textWrapping" w:clear="all"/>
        <w:t>Source: OECD Economic Outlook June 2015.</w:t>
      </w:r>
    </w:p>
    <w:p w:rsidR="00F16864" w:rsidRPr="00060E7A" w:rsidRDefault="00CE182A" w:rsidP="00351DB6">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At any rate, full employment and massive shortage of labour power had suddenly reappeared in the years before the great recession. </w:t>
      </w:r>
      <w:r w:rsidR="00351DB6" w:rsidRPr="00060E7A">
        <w:rPr>
          <w:rFonts w:ascii="Times New Roman" w:hAnsi="Times New Roman" w:cs="Times New Roman"/>
          <w:sz w:val="24"/>
          <w:szCs w:val="24"/>
          <w:lang w:val="en-GB"/>
        </w:rPr>
        <w:t>Year by year, t</w:t>
      </w:r>
      <w:r w:rsidRPr="00060E7A">
        <w:rPr>
          <w:rFonts w:ascii="Times New Roman" w:hAnsi="Times New Roman" w:cs="Times New Roman"/>
          <w:sz w:val="24"/>
          <w:szCs w:val="24"/>
          <w:lang w:val="en-GB"/>
        </w:rPr>
        <w:t>his had</w:t>
      </w:r>
      <w:r w:rsidR="002D285E" w:rsidRPr="00060E7A">
        <w:rPr>
          <w:rFonts w:ascii="Times New Roman" w:hAnsi="Times New Roman" w:cs="Times New Roman"/>
          <w:sz w:val="24"/>
          <w:szCs w:val="24"/>
          <w:lang w:val="en-GB"/>
        </w:rPr>
        <w:t xml:space="preserve"> generate</w:t>
      </w:r>
      <w:r w:rsidRPr="00060E7A">
        <w:rPr>
          <w:rFonts w:ascii="Times New Roman" w:hAnsi="Times New Roman" w:cs="Times New Roman"/>
          <w:sz w:val="24"/>
          <w:szCs w:val="24"/>
          <w:lang w:val="en-GB"/>
        </w:rPr>
        <w:t>d slightly</w:t>
      </w:r>
      <w:r w:rsidR="002D285E" w:rsidRPr="00060E7A">
        <w:rPr>
          <w:rFonts w:ascii="Times New Roman" w:hAnsi="Times New Roman" w:cs="Times New Roman"/>
          <w:sz w:val="24"/>
          <w:szCs w:val="24"/>
          <w:lang w:val="en-GB"/>
        </w:rPr>
        <w:t xml:space="preserve"> higher wage increases</w:t>
      </w:r>
      <w:r w:rsidRPr="00060E7A">
        <w:rPr>
          <w:rFonts w:ascii="Times New Roman" w:hAnsi="Times New Roman" w:cs="Times New Roman"/>
          <w:sz w:val="24"/>
          <w:szCs w:val="24"/>
          <w:lang w:val="en-GB"/>
        </w:rPr>
        <w:t xml:space="preserve"> than in neighbouring countries</w:t>
      </w:r>
      <w:r w:rsidR="002D285E" w:rsidRPr="00060E7A">
        <w:rPr>
          <w:rFonts w:ascii="Times New Roman" w:hAnsi="Times New Roman" w:cs="Times New Roman"/>
          <w:sz w:val="24"/>
          <w:szCs w:val="24"/>
          <w:lang w:val="en-GB"/>
        </w:rPr>
        <w:t xml:space="preserve">, and as productivity simultaneously declined, Denmark experienced a decline in wage competitiveness. </w:t>
      </w:r>
      <w:r w:rsidRPr="00060E7A">
        <w:rPr>
          <w:rFonts w:ascii="Times New Roman" w:hAnsi="Times New Roman" w:cs="Times New Roman"/>
          <w:sz w:val="24"/>
          <w:szCs w:val="24"/>
          <w:lang w:val="en-GB"/>
        </w:rPr>
        <w:t>This had not really been noticed because of the large current account surplus, but during the crisis</w:t>
      </w:r>
      <w:r w:rsidR="00351DB6" w:rsidRPr="00060E7A">
        <w:rPr>
          <w:rFonts w:ascii="Times New Roman" w:hAnsi="Times New Roman" w:cs="Times New Roman"/>
          <w:sz w:val="24"/>
          <w:szCs w:val="24"/>
          <w:lang w:val="en-GB"/>
        </w:rPr>
        <w:t>, not least under the Social Democratic government 2011-15,</w:t>
      </w:r>
      <w:r w:rsidRPr="00060E7A">
        <w:rPr>
          <w:rFonts w:ascii="Times New Roman" w:hAnsi="Times New Roman" w:cs="Times New Roman"/>
          <w:sz w:val="24"/>
          <w:szCs w:val="24"/>
          <w:lang w:val="en-GB"/>
        </w:rPr>
        <w:t xml:space="preserve"> it became a top political priority to </w:t>
      </w:r>
      <w:r w:rsidR="00F16864" w:rsidRPr="00060E7A">
        <w:rPr>
          <w:rFonts w:ascii="Times New Roman" w:hAnsi="Times New Roman" w:cs="Times New Roman"/>
          <w:sz w:val="24"/>
          <w:szCs w:val="24"/>
          <w:lang w:val="en-GB"/>
        </w:rPr>
        <w:t xml:space="preserve">repair the declining wage competitiveness. </w:t>
      </w:r>
    </w:p>
    <w:p w:rsidR="002947C2" w:rsidRPr="00060E7A" w:rsidRDefault="002947C2" w:rsidP="00D95423">
      <w:pPr>
        <w:rPr>
          <w:rFonts w:ascii="Times New Roman" w:hAnsi="Times New Roman" w:cs="Times New Roman"/>
          <w:b/>
          <w:sz w:val="24"/>
          <w:szCs w:val="24"/>
          <w:lang w:val="en-GB"/>
        </w:rPr>
      </w:pPr>
      <w:r w:rsidRPr="00060E7A">
        <w:rPr>
          <w:rFonts w:ascii="Times New Roman" w:hAnsi="Times New Roman" w:cs="Times New Roman"/>
          <w:b/>
          <w:sz w:val="24"/>
          <w:szCs w:val="24"/>
          <w:lang w:val="en-GB"/>
        </w:rPr>
        <w:t>Figure 3. Danish Terms of Trade, 1948-2012 (1948=100).</w:t>
      </w:r>
    </w:p>
    <w:p w:rsidR="002947C2" w:rsidRPr="00060E7A" w:rsidRDefault="002947C2" w:rsidP="00D95423">
      <w:pPr>
        <w:rPr>
          <w:rFonts w:ascii="Times New Roman" w:hAnsi="Times New Roman" w:cs="Times New Roman"/>
          <w:b/>
          <w:sz w:val="24"/>
          <w:szCs w:val="24"/>
          <w:lang w:val="en-GB"/>
        </w:rPr>
      </w:pPr>
      <w:r w:rsidRPr="00060E7A">
        <w:rPr>
          <w:rFonts w:ascii="Times New Roman" w:hAnsi="Times New Roman" w:cs="Times New Roman"/>
          <w:b/>
          <w:noProof/>
          <w:sz w:val="24"/>
          <w:szCs w:val="24"/>
          <w:lang w:val="en-GB" w:eastAsia="en-GB"/>
        </w:rPr>
        <w:drawing>
          <wp:inline distT="0" distB="0" distL="0" distR="0" wp14:anchorId="37C38035" wp14:editId="621A4B3E">
            <wp:extent cx="5155293" cy="3272972"/>
            <wp:effectExtent l="19050" t="0" r="7257" b="0"/>
            <wp:docPr id="4" name="Billede 2"/>
            <wp:cNvGraphicFramePr/>
            <a:graphic xmlns:a="http://schemas.openxmlformats.org/drawingml/2006/main">
              <a:graphicData uri="http://schemas.openxmlformats.org/drawingml/2006/picture">
                <pic:pic xmlns:pic="http://schemas.openxmlformats.org/drawingml/2006/picture">
                  <pic:nvPicPr>
                    <pic:cNvPr id="4" name="Billede 3"/>
                    <pic:cNvPicPr/>
                  </pic:nvPicPr>
                  <pic:blipFill>
                    <a:blip r:embed="rId11" cstate="print"/>
                    <a:srcRect/>
                    <a:stretch>
                      <a:fillRect/>
                    </a:stretch>
                  </pic:blipFill>
                  <pic:spPr bwMode="auto">
                    <a:xfrm>
                      <a:off x="0" y="0"/>
                      <a:ext cx="5159090" cy="3275383"/>
                    </a:xfrm>
                    <a:prstGeom prst="rect">
                      <a:avLst/>
                    </a:prstGeom>
                    <a:noFill/>
                    <a:ln w="9525">
                      <a:noFill/>
                      <a:miter lim="800000"/>
                      <a:headEnd/>
                      <a:tailEnd/>
                    </a:ln>
                  </pic:spPr>
                </pic:pic>
              </a:graphicData>
            </a:graphic>
          </wp:inline>
        </w:drawing>
      </w:r>
    </w:p>
    <w:p w:rsidR="002947C2" w:rsidRPr="00060E7A" w:rsidRDefault="002947C2" w:rsidP="00D95423">
      <w:pPr>
        <w:rPr>
          <w:rFonts w:ascii="Times New Roman" w:hAnsi="Times New Roman" w:cs="Times New Roman"/>
          <w:sz w:val="24"/>
          <w:szCs w:val="24"/>
          <w:lang w:val="en-GB"/>
        </w:rPr>
      </w:pPr>
    </w:p>
    <w:p w:rsidR="002947C2" w:rsidRPr="00060E7A" w:rsidRDefault="002947C2" w:rsidP="00351DB6">
      <w:pPr>
        <w:rPr>
          <w:rFonts w:ascii="Times New Roman" w:hAnsi="Times New Roman" w:cs="Times New Roman"/>
          <w:sz w:val="24"/>
          <w:szCs w:val="24"/>
          <w:lang w:val="en-GB"/>
        </w:rPr>
      </w:pPr>
      <w:r w:rsidRPr="00060E7A">
        <w:rPr>
          <w:rFonts w:ascii="Times New Roman" w:hAnsi="Times New Roman" w:cs="Times New Roman"/>
          <w:sz w:val="24"/>
          <w:szCs w:val="24"/>
          <w:lang w:val="en-GB"/>
        </w:rPr>
        <w:t>However, d</w:t>
      </w:r>
      <w:r w:rsidR="002D285E" w:rsidRPr="00060E7A">
        <w:rPr>
          <w:rFonts w:ascii="Times New Roman" w:hAnsi="Times New Roman" w:cs="Times New Roman"/>
          <w:sz w:val="24"/>
          <w:szCs w:val="24"/>
          <w:lang w:val="en-GB"/>
        </w:rPr>
        <w:t xml:space="preserve">ue to a constant improvement in the terms of trade – higher price increases on exports and lower increases on imports </w:t>
      </w:r>
      <w:r w:rsidRPr="00060E7A">
        <w:rPr>
          <w:rFonts w:ascii="Times New Roman" w:hAnsi="Times New Roman" w:cs="Times New Roman"/>
          <w:sz w:val="24"/>
          <w:szCs w:val="24"/>
          <w:lang w:val="en-GB"/>
        </w:rPr>
        <w:t xml:space="preserve">(see Figure 3) </w:t>
      </w:r>
      <w:r w:rsidR="002D285E" w:rsidRPr="00060E7A">
        <w:rPr>
          <w:rFonts w:ascii="Times New Roman" w:hAnsi="Times New Roman" w:cs="Times New Roman"/>
          <w:sz w:val="24"/>
          <w:szCs w:val="24"/>
          <w:lang w:val="en-GB"/>
        </w:rPr>
        <w:t xml:space="preserve">– </w:t>
      </w:r>
      <w:r w:rsidRPr="00060E7A">
        <w:rPr>
          <w:rFonts w:ascii="Times New Roman" w:hAnsi="Times New Roman" w:cs="Times New Roman"/>
          <w:sz w:val="24"/>
          <w:szCs w:val="24"/>
          <w:lang w:val="en-GB"/>
        </w:rPr>
        <w:t xml:space="preserve">it was rather misleading to base calculations of competitiveness on fixed prices, and a few years </w:t>
      </w:r>
      <w:r w:rsidR="00351DB6" w:rsidRPr="00060E7A">
        <w:rPr>
          <w:rFonts w:ascii="Times New Roman" w:hAnsi="Times New Roman" w:cs="Times New Roman"/>
          <w:sz w:val="24"/>
          <w:szCs w:val="24"/>
          <w:lang w:val="en-GB"/>
        </w:rPr>
        <w:t xml:space="preserve">after the outbreak of the great recession </w:t>
      </w:r>
      <w:r w:rsidRPr="00060E7A">
        <w:rPr>
          <w:rFonts w:ascii="Times New Roman" w:hAnsi="Times New Roman" w:cs="Times New Roman"/>
          <w:sz w:val="24"/>
          <w:szCs w:val="24"/>
          <w:lang w:val="en-GB"/>
        </w:rPr>
        <w:t>it was agreed, at least among economists, that competitiveness was not so bad – or even quite good.</w:t>
      </w:r>
    </w:p>
    <w:p w:rsidR="002D285E" w:rsidRPr="00060E7A" w:rsidRDefault="002947C2" w:rsidP="00FB199E">
      <w:pPr>
        <w:rPr>
          <w:rFonts w:ascii="Times New Roman" w:hAnsi="Times New Roman" w:cs="Times New Roman"/>
          <w:sz w:val="24"/>
          <w:szCs w:val="24"/>
          <w:lang w:val="en-GB"/>
        </w:rPr>
      </w:pPr>
      <w:r w:rsidRPr="00060E7A">
        <w:rPr>
          <w:rFonts w:ascii="Times New Roman" w:hAnsi="Times New Roman" w:cs="Times New Roman"/>
          <w:sz w:val="24"/>
          <w:szCs w:val="24"/>
          <w:lang w:val="en-GB"/>
        </w:rPr>
        <w:t>It should also be noticed that Denmark (like the other Nordic countries) has experienced a smooth de-industrialization,</w:t>
      </w:r>
      <w:r w:rsidR="002D285E" w:rsidRPr="00060E7A">
        <w:rPr>
          <w:rFonts w:ascii="Times New Roman" w:hAnsi="Times New Roman" w:cs="Times New Roman"/>
          <w:sz w:val="24"/>
          <w:szCs w:val="24"/>
          <w:lang w:val="en-GB"/>
        </w:rPr>
        <w:t xml:space="preserve"> swiftly replacing declining industries with more competitive branches – facilitated by the </w:t>
      </w:r>
      <w:r w:rsidR="00320B7F" w:rsidRPr="00060E7A">
        <w:rPr>
          <w:rFonts w:ascii="Times New Roman" w:hAnsi="Times New Roman" w:cs="Times New Roman"/>
          <w:sz w:val="24"/>
          <w:szCs w:val="24"/>
          <w:lang w:val="en-GB"/>
        </w:rPr>
        <w:t>Danish “</w:t>
      </w:r>
      <w:r w:rsidR="002D285E" w:rsidRPr="00060E7A">
        <w:rPr>
          <w:rFonts w:ascii="Times New Roman" w:hAnsi="Times New Roman" w:cs="Times New Roman"/>
          <w:sz w:val="24"/>
          <w:szCs w:val="24"/>
          <w:lang w:val="en-GB"/>
        </w:rPr>
        <w:t>flexicurity</w:t>
      </w:r>
      <w:r w:rsidR="00320B7F" w:rsidRPr="00060E7A">
        <w:rPr>
          <w:rFonts w:ascii="Times New Roman" w:hAnsi="Times New Roman" w:cs="Times New Roman"/>
          <w:sz w:val="24"/>
          <w:szCs w:val="24"/>
          <w:lang w:val="en-GB"/>
        </w:rPr>
        <w:t xml:space="preserve">” that has traditionally provided good </w:t>
      </w:r>
      <w:r w:rsidR="002D285E" w:rsidRPr="00060E7A">
        <w:rPr>
          <w:rFonts w:ascii="Times New Roman" w:hAnsi="Times New Roman" w:cs="Times New Roman"/>
          <w:sz w:val="24"/>
          <w:szCs w:val="24"/>
          <w:lang w:val="en-GB"/>
        </w:rPr>
        <w:t>protection for the unemployed in return for very limited employment protection legislation.</w:t>
      </w:r>
      <w:r w:rsidRPr="00060E7A">
        <w:rPr>
          <w:rFonts w:ascii="Times New Roman" w:hAnsi="Times New Roman" w:cs="Times New Roman"/>
          <w:sz w:val="24"/>
          <w:szCs w:val="24"/>
          <w:lang w:val="en-GB"/>
        </w:rPr>
        <w:t xml:space="preserve"> The government has </w:t>
      </w:r>
      <w:r w:rsidR="00320B7F" w:rsidRPr="00060E7A">
        <w:rPr>
          <w:rFonts w:ascii="Times New Roman" w:hAnsi="Times New Roman" w:cs="Times New Roman"/>
          <w:sz w:val="24"/>
          <w:szCs w:val="24"/>
          <w:lang w:val="en-GB"/>
        </w:rPr>
        <w:t xml:space="preserve">not </w:t>
      </w:r>
      <w:r w:rsidRPr="00060E7A">
        <w:rPr>
          <w:rFonts w:ascii="Times New Roman" w:hAnsi="Times New Roman" w:cs="Times New Roman"/>
          <w:sz w:val="24"/>
          <w:szCs w:val="24"/>
          <w:lang w:val="en-GB"/>
        </w:rPr>
        <w:t xml:space="preserve">sought to protect declining industries, and there are </w:t>
      </w:r>
      <w:r w:rsidR="00320B7F" w:rsidRPr="00060E7A">
        <w:rPr>
          <w:rFonts w:ascii="Times New Roman" w:hAnsi="Times New Roman" w:cs="Times New Roman"/>
          <w:sz w:val="24"/>
          <w:szCs w:val="24"/>
          <w:lang w:val="en-GB"/>
        </w:rPr>
        <w:t>almost no</w:t>
      </w:r>
      <w:r w:rsidRPr="00060E7A">
        <w:rPr>
          <w:rFonts w:ascii="Times New Roman" w:hAnsi="Times New Roman" w:cs="Times New Roman"/>
          <w:sz w:val="24"/>
          <w:szCs w:val="24"/>
          <w:lang w:val="en-GB"/>
        </w:rPr>
        <w:t xml:space="preserve"> instances where factory closures ha</w:t>
      </w:r>
      <w:r w:rsidR="00320B7F" w:rsidRPr="00060E7A">
        <w:rPr>
          <w:rFonts w:ascii="Times New Roman" w:hAnsi="Times New Roman" w:cs="Times New Roman"/>
          <w:sz w:val="24"/>
          <w:szCs w:val="24"/>
          <w:lang w:val="en-GB"/>
        </w:rPr>
        <w:t>ve</w:t>
      </w:r>
      <w:r w:rsidRPr="00060E7A">
        <w:rPr>
          <w:rFonts w:ascii="Times New Roman" w:hAnsi="Times New Roman" w:cs="Times New Roman"/>
          <w:sz w:val="24"/>
          <w:szCs w:val="24"/>
          <w:lang w:val="en-GB"/>
        </w:rPr>
        <w:t xml:space="preserve"> implied long-lasting unemployment </w:t>
      </w:r>
      <w:r w:rsidR="00320B7F" w:rsidRPr="00060E7A">
        <w:rPr>
          <w:rFonts w:ascii="Times New Roman" w:hAnsi="Times New Roman" w:cs="Times New Roman"/>
          <w:sz w:val="24"/>
          <w:szCs w:val="24"/>
          <w:lang w:val="en-GB"/>
        </w:rPr>
        <w:t>problems</w:t>
      </w:r>
      <w:r w:rsidRPr="00060E7A">
        <w:rPr>
          <w:rFonts w:ascii="Times New Roman" w:hAnsi="Times New Roman" w:cs="Times New Roman"/>
          <w:sz w:val="24"/>
          <w:szCs w:val="24"/>
          <w:lang w:val="en-GB"/>
        </w:rPr>
        <w:t xml:space="preserve">. Until the recession, there was political consensus that outsourcing of production to low-wage regions should not be considered a problem; </w:t>
      </w:r>
      <w:r w:rsidR="00C966F1" w:rsidRPr="00060E7A">
        <w:rPr>
          <w:rFonts w:ascii="Times New Roman" w:hAnsi="Times New Roman" w:cs="Times New Roman"/>
          <w:sz w:val="24"/>
          <w:szCs w:val="24"/>
          <w:lang w:val="en-GB"/>
        </w:rPr>
        <w:t>on</w:t>
      </w:r>
      <w:r w:rsidRPr="00060E7A">
        <w:rPr>
          <w:rFonts w:ascii="Times New Roman" w:hAnsi="Times New Roman" w:cs="Times New Roman"/>
          <w:sz w:val="24"/>
          <w:szCs w:val="24"/>
          <w:lang w:val="en-GB"/>
        </w:rPr>
        <w:t xml:space="preserve"> the contrary, this allowed Denmark to specialize in production at a higher level in the value chain.</w:t>
      </w:r>
    </w:p>
    <w:p w:rsidR="00C966F1" w:rsidRPr="00060E7A" w:rsidRDefault="00FB199E" w:rsidP="00FB199E">
      <w:pPr>
        <w:rPr>
          <w:rFonts w:ascii="Times New Roman" w:hAnsi="Times New Roman" w:cs="Times New Roman"/>
          <w:sz w:val="24"/>
          <w:szCs w:val="24"/>
          <w:lang w:val="en-GB"/>
        </w:rPr>
      </w:pPr>
      <w:r w:rsidRPr="00060E7A">
        <w:rPr>
          <w:rFonts w:ascii="Times New Roman" w:hAnsi="Times New Roman" w:cs="Times New Roman"/>
          <w:sz w:val="24"/>
          <w:szCs w:val="24"/>
          <w:lang w:val="en-GB"/>
        </w:rPr>
        <w:t>In short</w:t>
      </w:r>
      <w:r w:rsidR="00C966F1" w:rsidRPr="00060E7A">
        <w:rPr>
          <w:rFonts w:ascii="Times New Roman" w:hAnsi="Times New Roman" w:cs="Times New Roman"/>
          <w:sz w:val="24"/>
          <w:szCs w:val="24"/>
          <w:lang w:val="en-GB"/>
        </w:rPr>
        <w:t xml:space="preserve">, product market liberalization has for decades been part and parcel of the Danish economic growth model, and outsourcing or investments </w:t>
      </w:r>
      <w:r w:rsidR="004E46C0" w:rsidRPr="00060E7A">
        <w:rPr>
          <w:rFonts w:ascii="Times New Roman" w:hAnsi="Times New Roman" w:cs="Times New Roman"/>
          <w:sz w:val="24"/>
          <w:szCs w:val="24"/>
          <w:lang w:val="en-GB"/>
        </w:rPr>
        <w:t xml:space="preserve">abroad </w:t>
      </w:r>
      <w:r w:rsidR="00C966F1" w:rsidRPr="00060E7A">
        <w:rPr>
          <w:rFonts w:ascii="Times New Roman" w:hAnsi="Times New Roman" w:cs="Times New Roman"/>
          <w:sz w:val="24"/>
          <w:szCs w:val="24"/>
          <w:lang w:val="en-GB"/>
        </w:rPr>
        <w:t>w</w:t>
      </w:r>
      <w:r w:rsidR="004E46C0" w:rsidRPr="00060E7A">
        <w:rPr>
          <w:rFonts w:ascii="Times New Roman" w:hAnsi="Times New Roman" w:cs="Times New Roman"/>
          <w:sz w:val="24"/>
          <w:szCs w:val="24"/>
          <w:lang w:val="en-GB"/>
        </w:rPr>
        <w:t>ere only welcomed</w:t>
      </w:r>
      <w:r w:rsidR="00C966F1" w:rsidRPr="00060E7A">
        <w:rPr>
          <w:rFonts w:ascii="Times New Roman" w:hAnsi="Times New Roman" w:cs="Times New Roman"/>
          <w:sz w:val="24"/>
          <w:szCs w:val="24"/>
          <w:lang w:val="en-GB"/>
        </w:rPr>
        <w:t xml:space="preserve"> until the great recession. By and large, this was also the experience of the other Nordic countries.</w:t>
      </w:r>
    </w:p>
    <w:p w:rsidR="00B97765" w:rsidRPr="00060E7A" w:rsidRDefault="00C966F1"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Credit market liberalization, on the other hand, has caused severe problems for all the Nordic countries. In Sweden, Finland and Norway the liberalization of the 1980s generated housing and credit bubbles that caused a Nordic banking crisis in the 1990s when the state</w:t>
      </w:r>
      <w:r w:rsidR="004E46C0" w:rsidRPr="00060E7A">
        <w:rPr>
          <w:rFonts w:ascii="Times New Roman" w:hAnsi="Times New Roman" w:cs="Times New Roman"/>
          <w:sz w:val="24"/>
          <w:szCs w:val="24"/>
          <w:lang w:val="en-GB"/>
        </w:rPr>
        <w:t>s</w:t>
      </w:r>
      <w:r w:rsidRPr="00060E7A">
        <w:rPr>
          <w:rFonts w:ascii="Times New Roman" w:hAnsi="Times New Roman" w:cs="Times New Roman"/>
          <w:sz w:val="24"/>
          <w:szCs w:val="24"/>
          <w:lang w:val="en-GB"/>
        </w:rPr>
        <w:t xml:space="preserve"> w</w:t>
      </w:r>
      <w:r w:rsidR="004E46C0" w:rsidRPr="00060E7A">
        <w:rPr>
          <w:rFonts w:ascii="Times New Roman" w:hAnsi="Times New Roman" w:cs="Times New Roman"/>
          <w:sz w:val="24"/>
          <w:szCs w:val="24"/>
          <w:lang w:val="en-GB"/>
        </w:rPr>
        <w:t>ere</w:t>
      </w:r>
      <w:r w:rsidRPr="00060E7A">
        <w:rPr>
          <w:rFonts w:ascii="Times New Roman" w:hAnsi="Times New Roman" w:cs="Times New Roman"/>
          <w:sz w:val="24"/>
          <w:szCs w:val="24"/>
          <w:lang w:val="en-GB"/>
        </w:rPr>
        <w:t xml:space="preserve"> forced to nationalize some of the major banks. Iceland and Denmark escaped such problems in the 1990s, but during the great recession </w:t>
      </w:r>
      <w:r w:rsidR="004E46C0" w:rsidRPr="00060E7A">
        <w:rPr>
          <w:rFonts w:ascii="Times New Roman" w:hAnsi="Times New Roman" w:cs="Times New Roman"/>
          <w:sz w:val="24"/>
          <w:szCs w:val="24"/>
          <w:lang w:val="en-GB"/>
        </w:rPr>
        <w:t>the Nordic countries had changed roles</w:t>
      </w:r>
      <w:r w:rsidRPr="00060E7A">
        <w:rPr>
          <w:rFonts w:ascii="Times New Roman" w:hAnsi="Times New Roman" w:cs="Times New Roman"/>
          <w:sz w:val="24"/>
          <w:szCs w:val="24"/>
          <w:lang w:val="en-GB"/>
        </w:rPr>
        <w:t>. Needless to say, Iceland was the radical case, but the mechanisms behind the Danish crisis were basically the same</w:t>
      </w:r>
      <w:r w:rsidR="004E46C0" w:rsidRPr="00060E7A">
        <w:rPr>
          <w:rFonts w:ascii="Times New Roman" w:hAnsi="Times New Roman" w:cs="Times New Roman"/>
          <w:sz w:val="24"/>
          <w:szCs w:val="24"/>
          <w:lang w:val="en-GB"/>
        </w:rPr>
        <w:t>: Explosion of debt</w:t>
      </w:r>
      <w:r w:rsidR="00FB199E" w:rsidRPr="00060E7A">
        <w:rPr>
          <w:rFonts w:ascii="Times New Roman" w:hAnsi="Times New Roman" w:cs="Times New Roman"/>
          <w:sz w:val="24"/>
          <w:szCs w:val="24"/>
          <w:lang w:val="en-GB"/>
        </w:rPr>
        <w:t>,</w:t>
      </w:r>
      <w:r w:rsidR="004E46C0" w:rsidRPr="00060E7A">
        <w:rPr>
          <w:rFonts w:ascii="Times New Roman" w:hAnsi="Times New Roman" w:cs="Times New Roman"/>
          <w:sz w:val="24"/>
          <w:szCs w:val="24"/>
          <w:lang w:val="en-GB"/>
        </w:rPr>
        <w:t xml:space="preserve"> and housing bubbles</w:t>
      </w:r>
      <w:r w:rsidRPr="00060E7A">
        <w:rPr>
          <w:rFonts w:ascii="Times New Roman" w:hAnsi="Times New Roman" w:cs="Times New Roman"/>
          <w:sz w:val="24"/>
          <w:szCs w:val="24"/>
          <w:lang w:val="en-GB"/>
        </w:rPr>
        <w:t xml:space="preserve">. In </w:t>
      </w:r>
      <w:r w:rsidR="004E46C0" w:rsidRPr="00060E7A">
        <w:rPr>
          <w:rFonts w:ascii="Times New Roman" w:hAnsi="Times New Roman" w:cs="Times New Roman"/>
          <w:sz w:val="24"/>
          <w:szCs w:val="24"/>
          <w:lang w:val="en-GB"/>
        </w:rPr>
        <w:t xml:space="preserve">Denmark, </w:t>
      </w:r>
      <w:r w:rsidRPr="00060E7A">
        <w:rPr>
          <w:rFonts w:ascii="Times New Roman" w:hAnsi="Times New Roman" w:cs="Times New Roman"/>
          <w:sz w:val="24"/>
          <w:szCs w:val="24"/>
          <w:lang w:val="en-GB"/>
        </w:rPr>
        <w:t xml:space="preserve">the </w:t>
      </w:r>
      <w:r w:rsidR="002D285E" w:rsidRPr="00060E7A">
        <w:rPr>
          <w:rFonts w:ascii="Times New Roman" w:hAnsi="Times New Roman" w:cs="Times New Roman"/>
          <w:sz w:val="24"/>
          <w:szCs w:val="24"/>
          <w:lang w:val="en-GB"/>
        </w:rPr>
        <w:t xml:space="preserve">governments of the 1990s and 2000s </w:t>
      </w:r>
      <w:r w:rsidRPr="00060E7A">
        <w:rPr>
          <w:rFonts w:ascii="Times New Roman" w:hAnsi="Times New Roman" w:cs="Times New Roman"/>
          <w:sz w:val="24"/>
          <w:szCs w:val="24"/>
          <w:lang w:val="en-GB"/>
        </w:rPr>
        <w:t xml:space="preserve">had </w:t>
      </w:r>
      <w:r w:rsidR="002D285E" w:rsidRPr="00060E7A">
        <w:rPr>
          <w:rFonts w:ascii="Times New Roman" w:hAnsi="Times New Roman" w:cs="Times New Roman"/>
          <w:sz w:val="24"/>
          <w:szCs w:val="24"/>
          <w:lang w:val="en-GB"/>
        </w:rPr>
        <w:t xml:space="preserve">allowed for a liberalization of </w:t>
      </w:r>
      <w:r w:rsidR="00A00127" w:rsidRPr="00060E7A">
        <w:rPr>
          <w:rFonts w:ascii="Times New Roman" w:hAnsi="Times New Roman" w:cs="Times New Roman"/>
          <w:sz w:val="24"/>
          <w:szCs w:val="24"/>
          <w:lang w:val="en-GB"/>
        </w:rPr>
        <w:t>credit policy</w:t>
      </w:r>
      <w:r w:rsidRPr="00060E7A">
        <w:rPr>
          <w:rFonts w:ascii="Times New Roman" w:hAnsi="Times New Roman" w:cs="Times New Roman"/>
          <w:sz w:val="24"/>
          <w:szCs w:val="24"/>
          <w:lang w:val="en-GB"/>
        </w:rPr>
        <w:t xml:space="preserve"> for homeowners</w:t>
      </w:r>
      <w:r w:rsidR="00A00127" w:rsidRPr="00060E7A">
        <w:rPr>
          <w:rFonts w:ascii="Times New Roman" w:hAnsi="Times New Roman" w:cs="Times New Roman"/>
          <w:sz w:val="24"/>
          <w:szCs w:val="24"/>
          <w:lang w:val="en-GB"/>
        </w:rPr>
        <w:t>, introducing interest-only loans at the worst possible time in October 2003. This</w:t>
      </w:r>
      <w:r w:rsidR="00EC3762">
        <w:rPr>
          <w:rFonts w:ascii="Times New Roman" w:hAnsi="Times New Roman" w:cs="Times New Roman"/>
          <w:sz w:val="24"/>
          <w:szCs w:val="24"/>
          <w:lang w:val="en-GB"/>
        </w:rPr>
        <w:t xml:space="preserve"> lead to a virtual explosion in </w:t>
      </w:r>
      <w:r w:rsidR="00A00127" w:rsidRPr="00060E7A">
        <w:rPr>
          <w:rFonts w:ascii="Times New Roman" w:hAnsi="Times New Roman" w:cs="Times New Roman"/>
          <w:sz w:val="24"/>
          <w:szCs w:val="24"/>
          <w:lang w:val="en-GB"/>
        </w:rPr>
        <w:t>house prices (on average more tha</w:t>
      </w:r>
      <w:r w:rsidR="00EC3762">
        <w:rPr>
          <w:rFonts w:ascii="Times New Roman" w:hAnsi="Times New Roman" w:cs="Times New Roman"/>
          <w:sz w:val="24"/>
          <w:szCs w:val="24"/>
          <w:lang w:val="en-GB"/>
        </w:rPr>
        <w:t>n 60 per cent over three years)</w:t>
      </w:r>
      <w:r w:rsidR="00A00127" w:rsidRPr="00060E7A">
        <w:rPr>
          <w:rFonts w:ascii="Times New Roman" w:hAnsi="Times New Roman" w:cs="Times New Roman"/>
          <w:sz w:val="24"/>
          <w:szCs w:val="24"/>
          <w:lang w:val="en-GB"/>
        </w:rPr>
        <w:t xml:space="preserve"> adding to substantial increases in the previous years</w:t>
      </w:r>
      <w:r w:rsidR="0007054B" w:rsidRPr="00060E7A">
        <w:rPr>
          <w:rFonts w:ascii="Times New Roman" w:hAnsi="Times New Roman" w:cs="Times New Roman"/>
          <w:sz w:val="24"/>
          <w:szCs w:val="24"/>
          <w:lang w:val="en-GB"/>
        </w:rPr>
        <w:t xml:space="preserve"> (Figure 4)</w:t>
      </w:r>
      <w:r w:rsidR="00A00127" w:rsidRPr="00060E7A">
        <w:rPr>
          <w:rFonts w:ascii="Times New Roman" w:hAnsi="Times New Roman" w:cs="Times New Roman"/>
          <w:sz w:val="24"/>
          <w:szCs w:val="24"/>
          <w:lang w:val="en-GB"/>
        </w:rPr>
        <w:t xml:space="preserve">. Altogether, </w:t>
      </w:r>
    </w:p>
    <w:p w:rsidR="002D285E" w:rsidRPr="00060E7A" w:rsidRDefault="00B97765" w:rsidP="00FB199E">
      <w:pPr>
        <w:spacing w:after="0" w:line="240" w:lineRule="auto"/>
        <w:rPr>
          <w:rFonts w:ascii="Times New Roman" w:hAnsi="Times New Roman" w:cs="Times New Roman"/>
          <w:sz w:val="20"/>
          <w:szCs w:val="20"/>
          <w:lang w:val="en-GB"/>
        </w:rPr>
      </w:pPr>
      <w:r w:rsidRPr="00060E7A">
        <w:rPr>
          <w:rFonts w:ascii="Times New Roman" w:hAnsi="Times New Roman" w:cs="Times New Roman"/>
          <w:noProof/>
          <w:sz w:val="20"/>
          <w:szCs w:val="20"/>
          <w:lang w:val="en-GB" w:eastAsia="en-GB"/>
        </w:rPr>
        <w:drawing>
          <wp:inline distT="0" distB="0" distL="0" distR="0" wp14:anchorId="25C56922" wp14:editId="215F0E80">
            <wp:extent cx="5714093" cy="3497943"/>
            <wp:effectExtent l="19050" t="0" r="19957" b="7257"/>
            <wp:docPr id="2"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05FF" w:rsidRPr="00060E7A" w:rsidRDefault="003305FF" w:rsidP="00FB199E">
      <w:pPr>
        <w:spacing w:after="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Source: Realkreditraadet.</w:t>
      </w:r>
    </w:p>
    <w:p w:rsidR="003305FF" w:rsidRPr="00060E7A" w:rsidRDefault="0007054B" w:rsidP="00FB199E">
      <w:pPr>
        <w:spacing w:after="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Fat line: Owner-occupied apartments; fat dotted line: Ordinary family houses; thin dotted line: Summer cottages.</w:t>
      </w:r>
    </w:p>
    <w:p w:rsidR="00D95423" w:rsidRPr="00060E7A" w:rsidRDefault="00D95423" w:rsidP="00D95423">
      <w:pPr>
        <w:rPr>
          <w:rFonts w:ascii="Times New Roman" w:hAnsi="Times New Roman" w:cs="Times New Roman"/>
          <w:sz w:val="24"/>
          <w:szCs w:val="24"/>
          <w:lang w:val="en-GB"/>
        </w:rPr>
      </w:pPr>
    </w:p>
    <w:p w:rsidR="004E46C0" w:rsidRPr="00060E7A" w:rsidRDefault="004E46C0"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house prices nearly quadrupled from 1995 to 2007, and mortgage loans for homeowners increased from 40 to 80 per cent of GDP over a short span of years (Goul Andersen, 2011b). When Denmark was hit by the international economic recession, the country was already approaching the burst of a housing and credit bubble. This generated a rather peculiar economic situation which was seemingly not adequately understood by political decision makers during the great recession (see below).</w:t>
      </w:r>
    </w:p>
    <w:p w:rsidR="00F5609C" w:rsidRPr="00060E7A" w:rsidRDefault="00F5609C" w:rsidP="00086194">
      <w:pPr>
        <w:pStyle w:val="Heading1"/>
        <w:rPr>
          <w:lang w:val="en-GB"/>
        </w:rPr>
      </w:pPr>
      <w:bookmarkStart w:id="4" w:name="_Toc427117808"/>
      <w:r w:rsidRPr="00060E7A">
        <w:rPr>
          <w:lang w:val="en-GB"/>
        </w:rPr>
        <w:t>3. Pre-crisis policies and issues</w:t>
      </w:r>
      <w:bookmarkEnd w:id="4"/>
    </w:p>
    <w:p w:rsidR="003F74FA" w:rsidRPr="00060E7A" w:rsidRDefault="00C308AF"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Politically, the traditional Social Democratic approach of the 1960s and 1970s, assigning first priority to employment, had been replaced in the 1980s by more neoliberal ideas assigning first priority to competitiveness and to combating the “uncontrollable” increase i</w:t>
      </w:r>
      <w:r w:rsidR="00DF0779" w:rsidRPr="00060E7A">
        <w:rPr>
          <w:rFonts w:ascii="Times New Roman" w:hAnsi="Times New Roman" w:cs="Times New Roman"/>
          <w:sz w:val="24"/>
          <w:szCs w:val="24"/>
          <w:lang w:val="en-GB"/>
        </w:rPr>
        <w:t xml:space="preserve">n public expenditures. When a centre-right government took over in 1982, it was somewhat inspired by Thatcherism and announced a “bourgeois revolution”, but after 3-4 years the government resorted to more consensual policies. After a short revival of neoliberal ideas in the late 1980s (which never </w:t>
      </w:r>
    </w:p>
    <w:p w:rsidR="003F74FA" w:rsidRPr="00060E7A" w:rsidRDefault="003F74FA" w:rsidP="00D95423">
      <w:pPr>
        <w:rPr>
          <w:rFonts w:ascii="Times New Roman" w:hAnsi="Times New Roman" w:cs="Times New Roman"/>
          <w:sz w:val="24"/>
          <w:szCs w:val="24"/>
          <w:lang w:val="en-GB"/>
        </w:rPr>
      </w:pPr>
    </w:p>
    <w:p w:rsidR="009C0C45" w:rsidRPr="00060E7A" w:rsidRDefault="009C0C45" w:rsidP="00565387">
      <w:pPr>
        <w:spacing w:after="0" w:line="240" w:lineRule="auto"/>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 xml:space="preserve">Table </w:t>
      </w:r>
      <w:r w:rsidR="00565387" w:rsidRPr="00060E7A">
        <w:rPr>
          <w:rFonts w:ascii="Times New Roman" w:hAnsi="Times New Roman" w:cs="Times New Roman"/>
          <w:b/>
          <w:bCs/>
          <w:sz w:val="24"/>
          <w:szCs w:val="24"/>
          <w:lang w:val="en-GB"/>
        </w:rPr>
        <w:t>2</w:t>
      </w:r>
      <w:r w:rsidRPr="00060E7A">
        <w:rPr>
          <w:rFonts w:ascii="Times New Roman" w:hAnsi="Times New Roman" w:cs="Times New Roman"/>
          <w:b/>
          <w:bCs/>
          <w:sz w:val="24"/>
          <w:szCs w:val="24"/>
          <w:lang w:val="en-GB"/>
        </w:rPr>
        <w:t>. Budget surplus/deficit and net public debt, as per cent of GDP.</w:t>
      </w:r>
    </w:p>
    <w:tbl>
      <w:tblPr>
        <w:tblpPr w:leftFromText="180" w:rightFromText="180" w:vertAnchor="text"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520"/>
        <w:gridCol w:w="620"/>
        <w:gridCol w:w="680"/>
        <w:gridCol w:w="640"/>
        <w:gridCol w:w="640"/>
        <w:gridCol w:w="816"/>
        <w:gridCol w:w="816"/>
        <w:gridCol w:w="816"/>
        <w:gridCol w:w="816"/>
      </w:tblGrid>
      <w:tr w:rsidR="009C0C45" w:rsidRPr="00060E7A" w:rsidTr="009C0C45">
        <w:trPr>
          <w:trHeight w:val="215"/>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p>
        </w:tc>
        <w:tc>
          <w:tcPr>
            <w:tcW w:w="0" w:type="auto"/>
            <w:gridSpan w:val="4"/>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Budget surplus/deficit</w:t>
            </w:r>
            <w:r w:rsidRPr="00060E7A">
              <w:rPr>
                <w:rFonts w:ascii="Times New Roman" w:hAnsi="Times New Roman" w:cs="Times New Roman"/>
                <w:sz w:val="24"/>
                <w:szCs w:val="24"/>
                <w:lang w:val="en-GB"/>
              </w:rPr>
              <w:t xml:space="preserve"> </w:t>
            </w:r>
          </w:p>
        </w:tc>
        <w:tc>
          <w:tcPr>
            <w:tcW w:w="0" w:type="auto"/>
            <w:gridSpan w:val="4"/>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Net public debt (OECD)</w:t>
            </w:r>
            <w:r w:rsidRPr="00060E7A">
              <w:rPr>
                <w:rFonts w:ascii="Times New Roman" w:hAnsi="Times New Roman" w:cs="Times New Roman"/>
                <w:sz w:val="24"/>
                <w:szCs w:val="24"/>
                <w:lang w:val="en-GB"/>
              </w:rPr>
              <w:t xml:space="preserve">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2007</w:t>
            </w:r>
            <w:r w:rsidRPr="00060E7A">
              <w:rPr>
                <w:rFonts w:ascii="Times New Roman" w:hAnsi="Times New Roman" w:cs="Times New Roman"/>
                <w:sz w:val="24"/>
                <w:szCs w:val="24"/>
                <w:lang w:val="en-GB"/>
              </w:rPr>
              <w:t xml:space="preserve">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2011</w:t>
            </w:r>
            <w:r w:rsidRPr="00060E7A">
              <w:rPr>
                <w:rFonts w:ascii="Times New Roman" w:hAnsi="Times New Roman" w:cs="Times New Roman"/>
                <w:sz w:val="24"/>
                <w:szCs w:val="24"/>
                <w:lang w:val="en-GB"/>
              </w:rPr>
              <w:t xml:space="preserve">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2012</w:t>
            </w:r>
            <w:r w:rsidRPr="00060E7A">
              <w:rPr>
                <w:rFonts w:ascii="Times New Roman" w:hAnsi="Times New Roman" w:cs="Times New Roman"/>
                <w:sz w:val="24"/>
                <w:szCs w:val="24"/>
                <w:lang w:val="en-GB"/>
              </w:rPr>
              <w:t xml:space="preserve">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2007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2012</w:t>
            </w:r>
            <w:r w:rsidRPr="00060E7A">
              <w:rPr>
                <w:rFonts w:ascii="Times New Roman" w:hAnsi="Times New Roman" w:cs="Times New Roman"/>
                <w:sz w:val="24"/>
                <w:szCs w:val="24"/>
                <w:lang w:val="en-GB"/>
              </w:rPr>
              <w:t xml:space="preserve">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2013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Denmark </w:t>
            </w:r>
          </w:p>
        </w:tc>
        <w:tc>
          <w:tcPr>
            <w:tcW w:w="0" w:type="auto"/>
            <w:shd w:val="clear" w:color="auto" w:fill="66FF66"/>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–2.0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-3.9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-0.9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+3.8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–2.6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-7.5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-5.9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Sweden </w:t>
            </w:r>
          </w:p>
        </w:tc>
        <w:tc>
          <w:tcPr>
            <w:tcW w:w="0" w:type="auto"/>
            <w:shd w:val="clear" w:color="auto" w:fill="66FF66"/>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3.6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 0.0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-1.3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+20.9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+18.7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+21.3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+24.1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Finland </w:t>
            </w:r>
          </w:p>
        </w:tc>
        <w:tc>
          <w:tcPr>
            <w:tcW w:w="0" w:type="auto"/>
            <w:shd w:val="clear" w:color="auto" w:fill="66FF66"/>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-2.5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+72.6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+54.3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+55.4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+59.6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Norway </w:t>
            </w:r>
          </w:p>
        </w:tc>
        <w:tc>
          <w:tcPr>
            <w:tcW w:w="0" w:type="auto"/>
            <w:shd w:val="clear" w:color="auto" w:fill="66FF66"/>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17.3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13.6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13.9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11.1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+137.9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+157.9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+167.7 </w:t>
            </w:r>
          </w:p>
        </w:tc>
        <w:tc>
          <w:tcPr>
            <w:tcW w:w="0" w:type="auto"/>
            <w:shd w:val="clear" w:color="auto" w:fill="D6FF85"/>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+205.1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Iceland </w:t>
            </w:r>
          </w:p>
        </w:tc>
        <w:tc>
          <w:tcPr>
            <w:tcW w:w="0" w:type="auto"/>
            <w:shd w:val="clear" w:color="auto" w:fill="66FF66"/>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5.4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–5.6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+21.1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–28.1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-30.0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-30.7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Germany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–42.6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–50.5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-50.5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-49.1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France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–2.7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–5.2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-4.9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–35.7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–62.3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-70.3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-73.6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Netherlands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0.2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–4.3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-2.4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–27.8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–38.8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-42.2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-44.4 </w:t>
            </w:r>
          </w:p>
        </w:tc>
      </w:tr>
      <w:tr w:rsidR="009C0C45" w:rsidRPr="00060E7A" w:rsidTr="009C0C45">
        <w:trPr>
          <w:trHeight w:val="117"/>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Belgium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–0.1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–4.0 </w:t>
            </w:r>
          </w:p>
        </w:tc>
        <w:tc>
          <w:tcPr>
            <w:tcW w:w="0" w:type="auto"/>
            <w:shd w:val="clear" w:color="auto" w:fill="FFFF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–73.1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–81.5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-82.4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-84.1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Italy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–1.6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–3.6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-2.9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–90.8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–97.8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-113.2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-116.5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Greece </w:t>
            </w:r>
          </w:p>
        </w:tc>
        <w:tc>
          <w:tcPr>
            <w:tcW w:w="0" w:type="auto"/>
            <w:shd w:val="clear" w:color="auto" w:fill="FF66FF"/>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–6.8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–9.6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-8.9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-12.7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–86.5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–142.5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-103.3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-122.7 </w:t>
            </w:r>
          </w:p>
        </w:tc>
      </w:tr>
      <w:tr w:rsidR="009C0C45" w:rsidRPr="00060E7A" w:rsidTr="009C0C45">
        <w:trPr>
          <w:trHeight w:val="186"/>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Spain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2.0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–9.6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-10.6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–17.8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–48.2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-59.2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-70.7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Portugal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–3.2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–4.3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-6.5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–49.7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–75.2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-84.4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-91.8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Ireland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0.2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–13.0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-8.1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–65.3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-83.4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-90.3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U.K. </w:t>
            </w:r>
          </w:p>
        </w:tc>
        <w:tc>
          <w:tcPr>
            <w:tcW w:w="0" w:type="auto"/>
            <w:shd w:val="clear" w:color="auto" w:fill="FF66FF"/>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–3.0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–7.9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-6.3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-5.9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–26.2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–66.5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-66.1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-65.4 </w:t>
            </w:r>
          </w:p>
        </w:tc>
      </w:tr>
      <w:tr w:rsidR="009C0C45" w:rsidRPr="00060E7A" w:rsidTr="009C0C45">
        <w:trPr>
          <w:trHeight w:val="23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USA </w:t>
            </w:r>
          </w:p>
        </w:tc>
        <w:tc>
          <w:tcPr>
            <w:tcW w:w="0" w:type="auto"/>
            <w:shd w:val="clear" w:color="auto" w:fill="FF66FF"/>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–3.7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–10.7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-9.3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-6.4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–44.3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–76.1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-80.0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-81.2 </w:t>
            </w:r>
          </w:p>
        </w:tc>
      </w:tr>
      <w:tr w:rsidR="009C0C45" w:rsidRPr="00060E7A" w:rsidTr="009C0C45">
        <w:trPr>
          <w:trHeight w:val="67"/>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Switzerland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–8.8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-8.2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-8.0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Japan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–2.1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–8.8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-8.7 </w:t>
            </w:r>
          </w:p>
        </w:tc>
        <w:tc>
          <w:tcPr>
            <w:tcW w:w="0" w:type="auto"/>
            <w:shd w:val="clear" w:color="auto" w:fill="FFCCCC"/>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-9.3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–80.5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–127.3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-129.5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-137.5 </w:t>
            </w:r>
          </w:p>
        </w:tc>
      </w:tr>
      <w:tr w:rsidR="009C0C45" w:rsidRPr="00060E7A" w:rsidTr="009C0C45">
        <w:trPr>
          <w:trHeight w:val="43"/>
        </w:trPr>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Eurozone (15)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–0.7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–4.1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-3.0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–43.4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–60.7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-65.9 </w:t>
            </w:r>
          </w:p>
        </w:tc>
        <w:tc>
          <w:tcPr>
            <w:tcW w:w="0" w:type="auto"/>
            <w:shd w:val="clear" w:color="auto" w:fill="auto"/>
            <w:tcMar>
              <w:top w:w="11" w:type="dxa"/>
              <w:left w:w="70" w:type="dxa"/>
              <w:bottom w:w="0" w:type="dxa"/>
              <w:right w:w="70" w:type="dxa"/>
            </w:tcMar>
            <w:vAlign w:val="center"/>
            <w:hideMark/>
          </w:tcPr>
          <w:p w:rsidR="009C0C45" w:rsidRPr="00060E7A" w:rsidRDefault="009C0C45" w:rsidP="009C0C45">
            <w:pPr>
              <w:spacing w:after="0" w:line="240" w:lineRule="auto"/>
              <w:jc w:val="right"/>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-68.5 </w:t>
            </w:r>
          </w:p>
        </w:tc>
      </w:tr>
    </w:tbl>
    <w:p w:rsidR="009C0C45" w:rsidRPr="00060E7A" w:rsidRDefault="009C0C45" w:rsidP="009C0C45">
      <w:pPr>
        <w:rPr>
          <w:rFonts w:ascii="Times New Roman" w:hAnsi="Times New Roman" w:cs="Times New Roman"/>
          <w:sz w:val="20"/>
          <w:szCs w:val="20"/>
          <w:lang w:val="en-GB"/>
        </w:rPr>
      </w:pPr>
      <w:r w:rsidRPr="00060E7A">
        <w:rPr>
          <w:rFonts w:ascii="Times New Roman" w:hAnsi="Times New Roman" w:cs="Times New Roman"/>
          <w:sz w:val="20"/>
          <w:szCs w:val="20"/>
          <w:lang w:val="en-GB"/>
        </w:rPr>
        <w:br w:type="textWrapping" w:clear="all"/>
        <w:t>Source: Stats.oecd.org. Read Nov. 2014</w:t>
      </w:r>
    </w:p>
    <w:p w:rsidR="00C308AF" w:rsidRPr="00060E7A" w:rsidRDefault="00DF0779"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materialised) the government basically maintained status quo, but throughout the ten years of Conservative-Liberal governments</w:t>
      </w:r>
      <w:r w:rsidR="0007054B" w:rsidRPr="00060E7A">
        <w:rPr>
          <w:rFonts w:ascii="Times New Roman" w:hAnsi="Times New Roman" w:cs="Times New Roman"/>
          <w:sz w:val="24"/>
          <w:szCs w:val="24"/>
          <w:lang w:val="en-GB"/>
        </w:rPr>
        <w:t xml:space="preserve"> 1982-1993</w:t>
      </w:r>
      <w:r w:rsidRPr="00060E7A">
        <w:rPr>
          <w:rFonts w:ascii="Times New Roman" w:hAnsi="Times New Roman" w:cs="Times New Roman"/>
          <w:sz w:val="24"/>
          <w:szCs w:val="24"/>
          <w:lang w:val="en-GB"/>
        </w:rPr>
        <w:t>, it managed to curb public consumption.</w:t>
      </w:r>
    </w:p>
    <w:p w:rsidR="00733032" w:rsidRPr="00060E7A" w:rsidRDefault="00733032"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The centre-left governments 1993-2001 allowed the public sector to grow at a higher level, it assigned higher priority to employment, and it introduced ALMP as an alternative to market liberal solutions to the alleged structural unemployment problems. However, prudent economic policies were continued, carefully avoiding a deterioration of current accounts, and systematically reducing the public deficit.</w:t>
      </w:r>
      <w:r w:rsidR="0007054B" w:rsidRPr="00060E7A">
        <w:rPr>
          <w:rFonts w:ascii="Times New Roman" w:hAnsi="Times New Roman" w:cs="Times New Roman"/>
          <w:sz w:val="24"/>
          <w:szCs w:val="24"/>
          <w:lang w:val="en-GB"/>
        </w:rPr>
        <w:t xml:space="preserve"> By and large, the emphasis on providing adequate social protection for the unemployed was maintained</w:t>
      </w:r>
      <w:r w:rsidR="000374CF" w:rsidRPr="00060E7A">
        <w:rPr>
          <w:rFonts w:ascii="Times New Roman" w:hAnsi="Times New Roman" w:cs="Times New Roman"/>
          <w:sz w:val="24"/>
          <w:szCs w:val="24"/>
          <w:lang w:val="en-GB"/>
        </w:rPr>
        <w:t xml:space="preserve">, even though </w:t>
      </w:r>
      <w:r w:rsidR="00EC3762">
        <w:rPr>
          <w:rFonts w:ascii="Times New Roman" w:hAnsi="Times New Roman" w:cs="Times New Roman"/>
          <w:sz w:val="24"/>
          <w:szCs w:val="24"/>
          <w:lang w:val="en-GB"/>
        </w:rPr>
        <w:t xml:space="preserve">the maximum </w:t>
      </w:r>
      <w:r w:rsidR="000374CF" w:rsidRPr="00060E7A">
        <w:rPr>
          <w:rFonts w:ascii="Times New Roman" w:hAnsi="Times New Roman" w:cs="Times New Roman"/>
          <w:sz w:val="24"/>
          <w:szCs w:val="24"/>
          <w:lang w:val="en-GB"/>
        </w:rPr>
        <w:t>duration of unemployment benefits was cut from some 8-9 years to only 4 years.</w:t>
      </w:r>
    </w:p>
    <w:p w:rsidR="000374CF" w:rsidRPr="00060E7A" w:rsidRDefault="000374CF"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The Conservative-Liberal government which took over in 2001 changed emphasis from adequate social protection and activation/education towards a work first-approach with emphasis on disciplinary measures and the use of ALMP as one such measure.</w:t>
      </w:r>
    </w:p>
    <w:p w:rsidR="00A00127" w:rsidRPr="00060E7A" w:rsidRDefault="00A00127"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Ironically, the Danish </w:t>
      </w:r>
      <w:r w:rsidR="00D478D2" w:rsidRPr="00060E7A">
        <w:rPr>
          <w:rFonts w:ascii="Times New Roman" w:hAnsi="Times New Roman" w:cs="Times New Roman"/>
          <w:sz w:val="24"/>
          <w:szCs w:val="24"/>
          <w:lang w:val="en-GB"/>
        </w:rPr>
        <w:t xml:space="preserve">Conservative-Liberal </w:t>
      </w:r>
      <w:r w:rsidRPr="00060E7A">
        <w:rPr>
          <w:rFonts w:ascii="Times New Roman" w:hAnsi="Times New Roman" w:cs="Times New Roman"/>
          <w:sz w:val="24"/>
          <w:szCs w:val="24"/>
          <w:lang w:val="en-GB"/>
        </w:rPr>
        <w:t>Government 2001-2011 was the first centre-right government for 80 years that was able to rule without the support from the social-liberal Radical Liberal party. This massive turn to the right in party political terms was only possible, however, because of three concomitant changes:</w:t>
      </w:r>
    </w:p>
    <w:p w:rsidR="00C215AF" w:rsidRPr="00060E7A" w:rsidRDefault="00C215AF" w:rsidP="00C215AF">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 </w:t>
      </w:r>
      <w:r w:rsidR="00A00127" w:rsidRPr="00060E7A">
        <w:rPr>
          <w:rFonts w:ascii="Times New Roman" w:hAnsi="Times New Roman" w:cs="Times New Roman"/>
          <w:sz w:val="24"/>
          <w:szCs w:val="24"/>
          <w:lang w:val="en-GB"/>
        </w:rPr>
        <w:t xml:space="preserve">A strong mobilization on the issue of immigration, not only for the anti-immigration Danish People’s Party, but also by the Liberal </w:t>
      </w:r>
      <w:r w:rsidRPr="00060E7A">
        <w:rPr>
          <w:rFonts w:ascii="Times New Roman" w:hAnsi="Times New Roman" w:cs="Times New Roman"/>
          <w:sz w:val="24"/>
          <w:szCs w:val="24"/>
          <w:lang w:val="en-GB"/>
        </w:rPr>
        <w:t>party;</w:t>
      </w:r>
    </w:p>
    <w:p w:rsidR="00D478D2" w:rsidRPr="00060E7A" w:rsidRDefault="00C215AF" w:rsidP="00C215AF">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 </w:t>
      </w:r>
      <w:r w:rsidR="00A00127" w:rsidRPr="00060E7A">
        <w:rPr>
          <w:rFonts w:ascii="Times New Roman" w:hAnsi="Times New Roman" w:cs="Times New Roman"/>
          <w:sz w:val="24"/>
          <w:szCs w:val="24"/>
          <w:lang w:val="en-GB"/>
        </w:rPr>
        <w:t xml:space="preserve">A significant turn </w:t>
      </w:r>
      <w:r w:rsidRPr="00060E7A">
        <w:rPr>
          <w:rFonts w:ascii="Times New Roman" w:hAnsi="Times New Roman" w:cs="Times New Roman"/>
          <w:sz w:val="24"/>
          <w:szCs w:val="24"/>
          <w:lang w:val="en-GB"/>
        </w:rPr>
        <w:t xml:space="preserve">away </w:t>
      </w:r>
      <w:r w:rsidR="00A00127" w:rsidRPr="00060E7A">
        <w:rPr>
          <w:rFonts w:ascii="Times New Roman" w:hAnsi="Times New Roman" w:cs="Times New Roman"/>
          <w:sz w:val="24"/>
          <w:szCs w:val="24"/>
          <w:lang w:val="en-GB"/>
        </w:rPr>
        <w:t xml:space="preserve">from </w:t>
      </w:r>
      <w:r w:rsidR="00D478D2" w:rsidRPr="00060E7A">
        <w:rPr>
          <w:rFonts w:ascii="Times New Roman" w:hAnsi="Times New Roman" w:cs="Times New Roman"/>
          <w:sz w:val="24"/>
          <w:szCs w:val="24"/>
          <w:lang w:val="en-GB"/>
        </w:rPr>
        <w:t>“minimal state” ideas to</w:t>
      </w:r>
      <w:r w:rsidRPr="00060E7A">
        <w:rPr>
          <w:rFonts w:ascii="Times New Roman" w:hAnsi="Times New Roman" w:cs="Times New Roman"/>
          <w:sz w:val="24"/>
          <w:szCs w:val="24"/>
          <w:lang w:val="en-GB"/>
        </w:rPr>
        <w:t xml:space="preserve">wards </w:t>
      </w:r>
      <w:r w:rsidR="00D478D2" w:rsidRPr="00060E7A">
        <w:rPr>
          <w:rFonts w:ascii="Times New Roman" w:hAnsi="Times New Roman" w:cs="Times New Roman"/>
          <w:sz w:val="24"/>
          <w:szCs w:val="24"/>
          <w:lang w:val="en-GB"/>
        </w:rPr>
        <w:t>pro-welfare policy</w:t>
      </w:r>
      <w:r w:rsidRPr="00060E7A">
        <w:rPr>
          <w:rFonts w:ascii="Times New Roman" w:hAnsi="Times New Roman" w:cs="Times New Roman"/>
          <w:sz w:val="24"/>
          <w:szCs w:val="24"/>
          <w:lang w:val="en-GB"/>
        </w:rPr>
        <w:t xml:space="preserve"> </w:t>
      </w:r>
      <w:r w:rsidR="00D478D2" w:rsidRPr="00060E7A">
        <w:rPr>
          <w:rFonts w:ascii="Times New Roman" w:hAnsi="Times New Roman" w:cs="Times New Roman"/>
          <w:sz w:val="24"/>
          <w:szCs w:val="24"/>
          <w:lang w:val="en-GB"/>
        </w:rPr>
        <w:t xml:space="preserve">as </w:t>
      </w:r>
      <w:r w:rsidRPr="00060E7A">
        <w:rPr>
          <w:rFonts w:ascii="Times New Roman" w:hAnsi="Times New Roman" w:cs="Times New Roman"/>
          <w:sz w:val="24"/>
          <w:szCs w:val="24"/>
          <w:lang w:val="en-GB"/>
        </w:rPr>
        <w:t xml:space="preserve">regards the </w:t>
      </w:r>
      <w:r w:rsidR="00D478D2" w:rsidRPr="00060E7A">
        <w:rPr>
          <w:rFonts w:ascii="Times New Roman" w:hAnsi="Times New Roman" w:cs="Times New Roman"/>
          <w:sz w:val="24"/>
          <w:szCs w:val="24"/>
          <w:lang w:val="en-GB"/>
        </w:rPr>
        <w:t xml:space="preserve">Liberal Party. </w:t>
      </w:r>
      <w:r w:rsidR="00BA7A44" w:rsidRPr="00060E7A">
        <w:rPr>
          <w:rFonts w:ascii="Times New Roman" w:hAnsi="Times New Roman" w:cs="Times New Roman"/>
          <w:sz w:val="24"/>
          <w:szCs w:val="24"/>
          <w:lang w:val="en-GB"/>
        </w:rPr>
        <w:t xml:space="preserve">After </w:t>
      </w:r>
      <w:r w:rsidR="00D478D2" w:rsidRPr="00060E7A">
        <w:rPr>
          <w:rFonts w:ascii="Times New Roman" w:hAnsi="Times New Roman" w:cs="Times New Roman"/>
          <w:sz w:val="24"/>
          <w:szCs w:val="24"/>
          <w:lang w:val="en-GB"/>
        </w:rPr>
        <w:t xml:space="preserve">the electoral defeat in 1998, the </w:t>
      </w:r>
      <w:r w:rsidR="00BA7A44" w:rsidRPr="00060E7A">
        <w:rPr>
          <w:rFonts w:ascii="Times New Roman" w:hAnsi="Times New Roman" w:cs="Times New Roman"/>
          <w:sz w:val="24"/>
          <w:szCs w:val="24"/>
          <w:lang w:val="en-GB"/>
        </w:rPr>
        <w:t xml:space="preserve">new </w:t>
      </w:r>
      <w:r w:rsidR="00D478D2" w:rsidRPr="00060E7A">
        <w:rPr>
          <w:rFonts w:ascii="Times New Roman" w:hAnsi="Times New Roman" w:cs="Times New Roman"/>
          <w:sz w:val="24"/>
          <w:szCs w:val="24"/>
          <w:lang w:val="en-GB"/>
        </w:rPr>
        <w:t xml:space="preserve">party leader Anders Fogh Rasmussen </w:t>
      </w:r>
      <w:r w:rsidRPr="00060E7A">
        <w:rPr>
          <w:rFonts w:ascii="Times New Roman" w:hAnsi="Times New Roman" w:cs="Times New Roman"/>
          <w:sz w:val="24"/>
          <w:szCs w:val="24"/>
          <w:lang w:val="en-GB"/>
        </w:rPr>
        <w:t xml:space="preserve">systematically searched for </w:t>
      </w:r>
      <w:r w:rsidR="00D478D2" w:rsidRPr="00060E7A">
        <w:rPr>
          <w:rFonts w:ascii="Times New Roman" w:hAnsi="Times New Roman" w:cs="Times New Roman"/>
          <w:sz w:val="24"/>
          <w:szCs w:val="24"/>
          <w:lang w:val="en-GB"/>
        </w:rPr>
        <w:t xml:space="preserve">issues of symbolic importance (preferably with moderate costs) where he could overtake the Social Democratic-Radical Liberal government to the left. </w:t>
      </w:r>
    </w:p>
    <w:p w:rsidR="00C215AF" w:rsidRPr="00060E7A" w:rsidRDefault="00C215AF" w:rsidP="00C215AF">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(3) </w:t>
      </w:r>
      <w:r w:rsidR="00D478D2" w:rsidRPr="00060E7A">
        <w:rPr>
          <w:rFonts w:ascii="Times New Roman" w:hAnsi="Times New Roman" w:cs="Times New Roman"/>
          <w:sz w:val="24"/>
          <w:szCs w:val="24"/>
          <w:lang w:val="en-GB"/>
        </w:rPr>
        <w:t xml:space="preserve">At the same time, the Danish People’s Party </w:t>
      </w:r>
      <w:r w:rsidRPr="00060E7A">
        <w:rPr>
          <w:rFonts w:ascii="Times New Roman" w:hAnsi="Times New Roman" w:cs="Times New Roman"/>
          <w:sz w:val="24"/>
          <w:szCs w:val="24"/>
          <w:lang w:val="en-GB"/>
        </w:rPr>
        <w:t xml:space="preserve">quickly </w:t>
      </w:r>
      <w:r w:rsidR="00D478D2" w:rsidRPr="00060E7A">
        <w:rPr>
          <w:rFonts w:ascii="Times New Roman" w:hAnsi="Times New Roman" w:cs="Times New Roman"/>
          <w:sz w:val="24"/>
          <w:szCs w:val="24"/>
          <w:lang w:val="en-GB"/>
        </w:rPr>
        <w:t>abandoned its welfare sceptical and neoliberal ideas (a legacy from the Progress Party</w:t>
      </w:r>
      <w:r w:rsidRPr="00060E7A">
        <w:rPr>
          <w:rFonts w:ascii="Times New Roman" w:hAnsi="Times New Roman" w:cs="Times New Roman"/>
          <w:sz w:val="24"/>
          <w:szCs w:val="24"/>
          <w:lang w:val="en-GB"/>
        </w:rPr>
        <w:t>)</w:t>
      </w:r>
      <w:r w:rsidR="00D478D2" w:rsidRPr="00060E7A">
        <w:rPr>
          <w:rFonts w:ascii="Times New Roman" w:hAnsi="Times New Roman" w:cs="Times New Roman"/>
          <w:sz w:val="24"/>
          <w:szCs w:val="24"/>
          <w:lang w:val="en-GB"/>
        </w:rPr>
        <w:t xml:space="preserve"> in favour of a centrist, but welfare chauvinist, stance, giving priority to welfare improvements that benefited workers and the elderly. </w:t>
      </w:r>
    </w:p>
    <w:p w:rsidR="00A00127" w:rsidRPr="00060E7A" w:rsidRDefault="00C215AF" w:rsidP="00F809D7">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The mobilization on the issue of immigration enabled the Danish People’s Party and the Liberals to attract substantial shares of working class voters. </w:t>
      </w:r>
      <w:r w:rsidR="00D478D2" w:rsidRPr="00060E7A">
        <w:rPr>
          <w:rFonts w:ascii="Times New Roman" w:hAnsi="Times New Roman" w:cs="Times New Roman"/>
          <w:sz w:val="24"/>
          <w:szCs w:val="24"/>
          <w:lang w:val="en-GB"/>
        </w:rPr>
        <w:t xml:space="preserve">The pro-welfare stance enabled the two parties to </w:t>
      </w:r>
      <w:r w:rsidR="00D478D2" w:rsidRPr="00060E7A">
        <w:rPr>
          <w:rFonts w:ascii="Times New Roman" w:hAnsi="Times New Roman" w:cs="Times New Roman"/>
          <w:i/>
          <w:iCs/>
          <w:sz w:val="24"/>
          <w:szCs w:val="24"/>
          <w:lang w:val="en-GB"/>
        </w:rPr>
        <w:t xml:space="preserve">maintain </w:t>
      </w:r>
      <w:r w:rsidR="00D478D2" w:rsidRPr="00060E7A">
        <w:rPr>
          <w:rFonts w:ascii="Times New Roman" w:hAnsi="Times New Roman" w:cs="Times New Roman"/>
          <w:sz w:val="24"/>
          <w:szCs w:val="24"/>
          <w:lang w:val="en-GB"/>
        </w:rPr>
        <w:t>support</w:t>
      </w:r>
      <w:r w:rsidR="00F809D7" w:rsidRPr="00060E7A">
        <w:rPr>
          <w:rFonts w:ascii="Times New Roman" w:hAnsi="Times New Roman" w:cs="Times New Roman"/>
          <w:sz w:val="24"/>
          <w:szCs w:val="24"/>
          <w:lang w:val="en-GB"/>
        </w:rPr>
        <w:t xml:space="preserve"> from this segment of voters</w:t>
      </w:r>
      <w:r w:rsidR="00D478D2" w:rsidRPr="00060E7A">
        <w:rPr>
          <w:rFonts w:ascii="Times New Roman" w:hAnsi="Times New Roman" w:cs="Times New Roman"/>
          <w:sz w:val="24"/>
          <w:szCs w:val="24"/>
          <w:lang w:val="en-GB"/>
        </w:rPr>
        <w:t>.</w:t>
      </w:r>
    </w:p>
    <w:p w:rsidR="004E72AE" w:rsidRPr="00060E7A" w:rsidRDefault="00E86303" w:rsidP="00F809D7">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Apart from significantly </w:t>
      </w:r>
      <w:r w:rsidR="00C308AF" w:rsidRPr="00060E7A">
        <w:rPr>
          <w:rFonts w:ascii="Times New Roman" w:hAnsi="Times New Roman" w:cs="Times New Roman"/>
          <w:sz w:val="24"/>
          <w:szCs w:val="24"/>
          <w:lang w:val="en-GB"/>
        </w:rPr>
        <w:t>more restrictive policies towards</w:t>
      </w:r>
      <w:r w:rsidR="00733032" w:rsidRPr="00060E7A">
        <w:rPr>
          <w:rFonts w:ascii="Times New Roman" w:hAnsi="Times New Roman" w:cs="Times New Roman"/>
          <w:sz w:val="24"/>
          <w:szCs w:val="24"/>
          <w:lang w:val="en-GB"/>
        </w:rPr>
        <w:t xml:space="preserve"> immigrants</w:t>
      </w:r>
      <w:r w:rsidR="00F809D7" w:rsidRPr="00060E7A">
        <w:rPr>
          <w:rFonts w:ascii="Times New Roman" w:hAnsi="Times New Roman" w:cs="Times New Roman"/>
          <w:sz w:val="24"/>
          <w:szCs w:val="24"/>
          <w:lang w:val="en-GB"/>
        </w:rPr>
        <w:t xml:space="preserve"> (admission as well as social rights, see Goul Andersen, 20</w:t>
      </w:r>
      <w:r w:rsidR="00EC3762">
        <w:rPr>
          <w:rFonts w:ascii="Times New Roman" w:hAnsi="Times New Roman" w:cs="Times New Roman"/>
          <w:sz w:val="24"/>
          <w:szCs w:val="24"/>
          <w:lang w:val="en-GB"/>
        </w:rPr>
        <w:t>07)</w:t>
      </w:r>
      <w:r w:rsidR="00733032" w:rsidRPr="00060E7A">
        <w:rPr>
          <w:rFonts w:ascii="Times New Roman" w:hAnsi="Times New Roman" w:cs="Times New Roman"/>
          <w:sz w:val="24"/>
          <w:szCs w:val="24"/>
          <w:lang w:val="en-GB"/>
        </w:rPr>
        <w:t xml:space="preserve"> the government basically continued t</w:t>
      </w:r>
      <w:r w:rsidRPr="00060E7A">
        <w:rPr>
          <w:rFonts w:ascii="Times New Roman" w:hAnsi="Times New Roman" w:cs="Times New Roman"/>
          <w:sz w:val="24"/>
          <w:szCs w:val="24"/>
          <w:lang w:val="en-GB"/>
        </w:rPr>
        <w:t>he</w:t>
      </w:r>
      <w:r w:rsidR="00733032" w:rsidRPr="00060E7A">
        <w:rPr>
          <w:rFonts w:ascii="Times New Roman" w:hAnsi="Times New Roman" w:cs="Times New Roman"/>
          <w:sz w:val="24"/>
          <w:szCs w:val="24"/>
          <w:lang w:val="en-GB"/>
        </w:rPr>
        <w:t xml:space="preserve"> consensual and prudent economic policies of the previous government. It </w:t>
      </w:r>
      <w:r w:rsidRPr="00060E7A">
        <w:rPr>
          <w:rFonts w:ascii="Times New Roman" w:hAnsi="Times New Roman" w:cs="Times New Roman"/>
          <w:sz w:val="24"/>
          <w:szCs w:val="24"/>
          <w:lang w:val="en-GB"/>
        </w:rPr>
        <w:t xml:space="preserve">did pursue some liberal political goals, but mainly </w:t>
      </w:r>
      <w:r w:rsidR="00733032" w:rsidRPr="00060E7A">
        <w:rPr>
          <w:rFonts w:ascii="Times New Roman" w:hAnsi="Times New Roman" w:cs="Times New Roman"/>
          <w:sz w:val="24"/>
          <w:szCs w:val="24"/>
          <w:lang w:val="en-GB"/>
        </w:rPr>
        <w:t xml:space="preserve">the least politically dangerous liberal ideas of outsourcing, vouchers and consumerism in the public sector. This </w:t>
      </w:r>
      <w:r w:rsidRPr="00060E7A">
        <w:rPr>
          <w:rFonts w:ascii="Times New Roman" w:hAnsi="Times New Roman" w:cs="Times New Roman"/>
          <w:sz w:val="24"/>
          <w:szCs w:val="24"/>
          <w:lang w:val="en-GB"/>
        </w:rPr>
        <w:t xml:space="preserve">was successfully presented </w:t>
      </w:r>
      <w:r w:rsidR="00733032" w:rsidRPr="00060E7A">
        <w:rPr>
          <w:rFonts w:ascii="Times New Roman" w:hAnsi="Times New Roman" w:cs="Times New Roman"/>
          <w:sz w:val="24"/>
          <w:szCs w:val="24"/>
          <w:lang w:val="en-GB"/>
        </w:rPr>
        <w:t xml:space="preserve">as an extension of citizens’ rights. </w:t>
      </w:r>
    </w:p>
    <w:p w:rsidR="00510A4A" w:rsidRPr="00060E7A" w:rsidRDefault="00510A4A" w:rsidP="00510A4A">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Social policies during the Liberal-Conservative reign increasingly emphasized employment in favour of social security; one could speak of an “activation” of the entire social security/tax system with the purpose of extracting as much labour power as possible. In labour market policy, conditionality was strengthened, and a “work first” approach replaced the emphasis on improving qualifications among the unemployed. Accordingly, activation was increasingly used as a works test. Still, it is difficult to speak of a definitive break with the policies of the 1990s until 2010. After all, duration of unemployment benefits remained four years, and the proportion of (ordinary) unemployed receiving social assistance rather than unemployment benefits remained below 20 per cent (Goul Andersen, 2012b). </w:t>
      </w:r>
    </w:p>
    <w:p w:rsidR="00C308AF" w:rsidRPr="00060E7A" w:rsidRDefault="00E44380" w:rsidP="00262F77">
      <w:pPr>
        <w:rPr>
          <w:rFonts w:ascii="Times New Roman" w:hAnsi="Times New Roman" w:cs="Times New Roman"/>
          <w:sz w:val="24"/>
          <w:szCs w:val="24"/>
          <w:lang w:val="en-GB"/>
        </w:rPr>
      </w:pPr>
      <w:r w:rsidRPr="00060E7A">
        <w:rPr>
          <w:rFonts w:ascii="Times New Roman" w:hAnsi="Times New Roman" w:cs="Times New Roman"/>
          <w:sz w:val="24"/>
          <w:szCs w:val="24"/>
          <w:lang w:val="en-GB"/>
        </w:rPr>
        <w:t>T</w:t>
      </w:r>
      <w:r w:rsidR="00733032" w:rsidRPr="00060E7A">
        <w:rPr>
          <w:rFonts w:ascii="Times New Roman" w:hAnsi="Times New Roman" w:cs="Times New Roman"/>
          <w:sz w:val="24"/>
          <w:szCs w:val="24"/>
          <w:lang w:val="en-GB"/>
        </w:rPr>
        <w:t xml:space="preserve">ax </w:t>
      </w:r>
      <w:r w:rsidR="00510A4A" w:rsidRPr="00060E7A">
        <w:rPr>
          <w:rFonts w:ascii="Times New Roman" w:hAnsi="Times New Roman" w:cs="Times New Roman"/>
          <w:sz w:val="24"/>
          <w:szCs w:val="24"/>
          <w:lang w:val="en-GB"/>
        </w:rPr>
        <w:t xml:space="preserve">cuts </w:t>
      </w:r>
      <w:r w:rsidR="00733032" w:rsidRPr="00060E7A">
        <w:rPr>
          <w:rFonts w:ascii="Times New Roman" w:hAnsi="Times New Roman" w:cs="Times New Roman"/>
          <w:sz w:val="24"/>
          <w:szCs w:val="24"/>
          <w:lang w:val="en-GB"/>
        </w:rPr>
        <w:t>was provided on two occasions, in 2003/04 (</w:t>
      </w:r>
      <w:r w:rsidRPr="00060E7A">
        <w:rPr>
          <w:rFonts w:ascii="Times New Roman" w:hAnsi="Times New Roman" w:cs="Times New Roman"/>
          <w:sz w:val="24"/>
          <w:szCs w:val="24"/>
          <w:lang w:val="en-GB"/>
        </w:rPr>
        <w:t xml:space="preserve">unfinanced, but </w:t>
      </w:r>
      <w:r w:rsidR="00733032" w:rsidRPr="00060E7A">
        <w:rPr>
          <w:rFonts w:ascii="Times New Roman" w:hAnsi="Times New Roman" w:cs="Times New Roman"/>
          <w:sz w:val="24"/>
          <w:szCs w:val="24"/>
          <w:lang w:val="en-GB"/>
        </w:rPr>
        <w:t>justified as a countermeasure against the dot com-recession) and in 2007 (justified by the large surplus on the state budget</w:t>
      </w:r>
      <w:r w:rsidR="004E72AE" w:rsidRPr="00060E7A">
        <w:rPr>
          <w:rFonts w:ascii="Times New Roman" w:hAnsi="Times New Roman" w:cs="Times New Roman"/>
          <w:sz w:val="24"/>
          <w:szCs w:val="24"/>
          <w:lang w:val="en-GB"/>
        </w:rPr>
        <w:t xml:space="preserve">, but </w:t>
      </w:r>
      <w:r w:rsidR="00510A4A" w:rsidRPr="00060E7A">
        <w:rPr>
          <w:rFonts w:ascii="Times New Roman" w:hAnsi="Times New Roman" w:cs="Times New Roman"/>
          <w:sz w:val="24"/>
          <w:szCs w:val="24"/>
          <w:lang w:val="en-GB"/>
        </w:rPr>
        <w:t xml:space="preserve">implemented in 2009 and </w:t>
      </w:r>
      <w:r w:rsidR="00474754" w:rsidRPr="00060E7A">
        <w:rPr>
          <w:rFonts w:ascii="Times New Roman" w:hAnsi="Times New Roman" w:cs="Times New Roman"/>
          <w:sz w:val="24"/>
          <w:szCs w:val="24"/>
          <w:lang w:val="en-GB"/>
        </w:rPr>
        <w:t xml:space="preserve">tacitly financed </w:t>
      </w:r>
      <w:r w:rsidR="00510A4A" w:rsidRPr="00060E7A">
        <w:rPr>
          <w:rFonts w:ascii="Times New Roman" w:hAnsi="Times New Roman" w:cs="Times New Roman"/>
          <w:sz w:val="24"/>
          <w:szCs w:val="24"/>
          <w:lang w:val="en-GB"/>
        </w:rPr>
        <w:t xml:space="preserve">in 2010 </w:t>
      </w:r>
      <w:r w:rsidR="00474754" w:rsidRPr="00060E7A">
        <w:rPr>
          <w:rFonts w:ascii="Times New Roman" w:hAnsi="Times New Roman" w:cs="Times New Roman"/>
          <w:sz w:val="24"/>
          <w:szCs w:val="24"/>
          <w:lang w:val="en-GB"/>
        </w:rPr>
        <w:t>via a so-called “reconstruction plan”</w:t>
      </w:r>
      <w:r w:rsidR="00510A4A" w:rsidRPr="00060E7A">
        <w:rPr>
          <w:rFonts w:ascii="Times New Roman" w:hAnsi="Times New Roman" w:cs="Times New Roman"/>
          <w:sz w:val="24"/>
          <w:szCs w:val="24"/>
          <w:lang w:val="en-GB"/>
        </w:rPr>
        <w:t xml:space="preserve"> that should </w:t>
      </w:r>
      <w:r w:rsidR="00474754" w:rsidRPr="00060E7A">
        <w:rPr>
          <w:rFonts w:ascii="Times New Roman" w:hAnsi="Times New Roman" w:cs="Times New Roman"/>
          <w:sz w:val="24"/>
          <w:szCs w:val="24"/>
          <w:lang w:val="en-GB"/>
        </w:rPr>
        <w:t>neutralize growth</w:t>
      </w:r>
      <w:r w:rsidR="00262F77" w:rsidRPr="00060E7A">
        <w:rPr>
          <w:rFonts w:ascii="Times New Roman" w:hAnsi="Times New Roman" w:cs="Times New Roman"/>
          <w:sz w:val="24"/>
          <w:szCs w:val="24"/>
          <w:lang w:val="en-GB"/>
        </w:rPr>
        <w:t xml:space="preserve"> initiatives</w:t>
      </w:r>
      <w:r w:rsidR="00474754" w:rsidRPr="00060E7A">
        <w:rPr>
          <w:rFonts w:ascii="Times New Roman" w:hAnsi="Times New Roman" w:cs="Times New Roman"/>
          <w:sz w:val="24"/>
          <w:szCs w:val="24"/>
          <w:lang w:val="en-GB"/>
        </w:rPr>
        <w:t xml:space="preserve"> </w:t>
      </w:r>
      <w:r w:rsidRPr="00060E7A">
        <w:rPr>
          <w:rFonts w:ascii="Times New Roman" w:hAnsi="Times New Roman" w:cs="Times New Roman"/>
          <w:sz w:val="24"/>
          <w:szCs w:val="24"/>
          <w:lang w:val="en-GB"/>
        </w:rPr>
        <w:t>of</w:t>
      </w:r>
      <w:r w:rsidR="00474754" w:rsidRPr="00060E7A">
        <w:rPr>
          <w:rFonts w:ascii="Times New Roman" w:hAnsi="Times New Roman" w:cs="Times New Roman"/>
          <w:sz w:val="24"/>
          <w:szCs w:val="24"/>
          <w:lang w:val="en-GB"/>
        </w:rPr>
        <w:t xml:space="preserve"> 2009</w:t>
      </w:r>
      <w:r w:rsidR="00733032" w:rsidRPr="00060E7A">
        <w:rPr>
          <w:rFonts w:ascii="Times New Roman" w:hAnsi="Times New Roman" w:cs="Times New Roman"/>
          <w:sz w:val="24"/>
          <w:szCs w:val="24"/>
          <w:lang w:val="en-GB"/>
        </w:rPr>
        <w:t>).</w:t>
      </w:r>
      <w:r w:rsidRPr="00060E7A">
        <w:rPr>
          <w:rFonts w:ascii="Times New Roman" w:hAnsi="Times New Roman" w:cs="Times New Roman"/>
          <w:sz w:val="24"/>
          <w:szCs w:val="24"/>
          <w:lang w:val="en-GB"/>
        </w:rPr>
        <w:t xml:space="preserve"> The 2003/04 reform was the first reform to provide tax cuts targeted at those employed, via a (universal) “employment deduction” for those employed. The 2007 reform (later to be followed by a 2009 reform) significantly lowered marginal tax rates for middle and high incomes. </w:t>
      </w:r>
      <w:r w:rsidR="003A0F15" w:rsidRPr="00060E7A">
        <w:rPr>
          <w:rFonts w:ascii="Times New Roman" w:hAnsi="Times New Roman" w:cs="Times New Roman"/>
          <w:sz w:val="24"/>
          <w:szCs w:val="24"/>
          <w:lang w:val="en-GB"/>
        </w:rPr>
        <w:t>Gradually, Denmark had become one of the EU countries with the lowest taxes on labour, with the exception of marginal taxes for high incomes (56 per cent) being slightly higher than the average for the 21 OECD members of the EU (Goul Andersen, 2012a</w:t>
      </w:r>
      <w:r w:rsidR="006021C1" w:rsidRPr="00060E7A">
        <w:rPr>
          <w:rFonts w:ascii="Times New Roman" w:hAnsi="Times New Roman" w:cs="Times New Roman"/>
          <w:sz w:val="24"/>
          <w:szCs w:val="24"/>
          <w:lang w:val="en-GB"/>
        </w:rPr>
        <w:t>; see also appendix table 2</w:t>
      </w:r>
      <w:r w:rsidR="003A0F15" w:rsidRPr="00060E7A">
        <w:rPr>
          <w:rFonts w:ascii="Times New Roman" w:hAnsi="Times New Roman" w:cs="Times New Roman"/>
          <w:sz w:val="24"/>
          <w:szCs w:val="24"/>
          <w:lang w:val="en-GB"/>
        </w:rPr>
        <w:t>).</w:t>
      </w:r>
    </w:p>
    <w:p w:rsidR="002A3FC1" w:rsidRPr="00060E7A" w:rsidRDefault="002A3FC1" w:rsidP="003A0F15">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As regards the long-term challenges, the challenge of ageing had been addressed by labour market pensions from 1991 (extending collectively negotiated pensions to almost the entire labour market). Further actions were taken in a Welfare Reform in 2006, indexing the </w:t>
      </w:r>
      <w:r w:rsidR="00474754" w:rsidRPr="00060E7A">
        <w:rPr>
          <w:rFonts w:ascii="Times New Roman" w:hAnsi="Times New Roman" w:cs="Times New Roman"/>
          <w:sz w:val="24"/>
          <w:szCs w:val="24"/>
          <w:lang w:val="en-GB"/>
        </w:rPr>
        <w:t xml:space="preserve">age brackets in the </w:t>
      </w:r>
      <w:r w:rsidRPr="00060E7A">
        <w:rPr>
          <w:rFonts w:ascii="Times New Roman" w:hAnsi="Times New Roman" w:cs="Times New Roman"/>
          <w:sz w:val="24"/>
          <w:szCs w:val="24"/>
          <w:lang w:val="en-GB"/>
        </w:rPr>
        <w:t xml:space="preserve">retirement </w:t>
      </w:r>
      <w:r w:rsidR="00474754" w:rsidRPr="00060E7A">
        <w:rPr>
          <w:rFonts w:ascii="Times New Roman" w:hAnsi="Times New Roman" w:cs="Times New Roman"/>
          <w:sz w:val="24"/>
          <w:szCs w:val="24"/>
          <w:lang w:val="en-GB"/>
        </w:rPr>
        <w:t>system</w:t>
      </w:r>
      <w:r w:rsidRPr="00060E7A">
        <w:rPr>
          <w:rFonts w:ascii="Times New Roman" w:hAnsi="Times New Roman" w:cs="Times New Roman"/>
          <w:sz w:val="24"/>
          <w:szCs w:val="24"/>
          <w:lang w:val="en-GB"/>
        </w:rPr>
        <w:t xml:space="preserve"> to life expectancy at the age of 60</w:t>
      </w:r>
      <w:r w:rsidR="00474754" w:rsidRPr="00060E7A">
        <w:rPr>
          <w:rFonts w:ascii="Times New Roman" w:hAnsi="Times New Roman" w:cs="Times New Roman"/>
          <w:sz w:val="24"/>
          <w:szCs w:val="24"/>
          <w:lang w:val="en-GB"/>
        </w:rPr>
        <w:t>, taking 1979-1995 as basis</w:t>
      </w:r>
      <w:r w:rsidRPr="00060E7A">
        <w:rPr>
          <w:rFonts w:ascii="Times New Roman" w:hAnsi="Times New Roman" w:cs="Times New Roman"/>
          <w:sz w:val="24"/>
          <w:szCs w:val="24"/>
          <w:lang w:val="en-GB"/>
        </w:rPr>
        <w:t xml:space="preserve">. </w:t>
      </w:r>
      <w:r w:rsidR="003A0F15" w:rsidRPr="00060E7A">
        <w:rPr>
          <w:rFonts w:ascii="Times New Roman" w:hAnsi="Times New Roman" w:cs="Times New Roman"/>
          <w:sz w:val="24"/>
          <w:szCs w:val="24"/>
          <w:lang w:val="en-GB"/>
        </w:rPr>
        <w:t>This implied that ageing was only a minor challenge.</w:t>
      </w:r>
    </w:p>
    <w:p w:rsidR="002A3FC1" w:rsidRPr="00060E7A" w:rsidRDefault="002A3FC1" w:rsidP="003A0F15">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As regards the challenge of globalization, this was largely addressed in an offensive manner, as a challenge to work smart rather than work hard. A </w:t>
      </w:r>
      <w:r w:rsidR="003A0F15" w:rsidRPr="00060E7A">
        <w:rPr>
          <w:rFonts w:ascii="Times New Roman" w:hAnsi="Times New Roman" w:cs="Times New Roman"/>
          <w:sz w:val="24"/>
          <w:szCs w:val="24"/>
          <w:lang w:val="en-GB"/>
        </w:rPr>
        <w:t>“G</w:t>
      </w:r>
      <w:r w:rsidRPr="00060E7A">
        <w:rPr>
          <w:rFonts w:ascii="Times New Roman" w:hAnsi="Times New Roman" w:cs="Times New Roman"/>
          <w:sz w:val="24"/>
          <w:szCs w:val="24"/>
          <w:lang w:val="en-GB"/>
        </w:rPr>
        <w:t xml:space="preserve">lobalization </w:t>
      </w:r>
      <w:r w:rsidR="003A0F15" w:rsidRPr="00060E7A">
        <w:rPr>
          <w:rFonts w:ascii="Times New Roman" w:hAnsi="Times New Roman" w:cs="Times New Roman"/>
          <w:sz w:val="24"/>
          <w:szCs w:val="24"/>
          <w:lang w:val="en-GB"/>
        </w:rPr>
        <w:t>C</w:t>
      </w:r>
      <w:r w:rsidRPr="00060E7A">
        <w:rPr>
          <w:rFonts w:ascii="Times New Roman" w:hAnsi="Times New Roman" w:cs="Times New Roman"/>
          <w:sz w:val="24"/>
          <w:szCs w:val="24"/>
          <w:lang w:val="en-GB"/>
        </w:rPr>
        <w:t>ouncil</w:t>
      </w:r>
      <w:r w:rsidR="003A0F15" w:rsidRPr="00060E7A">
        <w:rPr>
          <w:rFonts w:ascii="Times New Roman" w:hAnsi="Times New Roman" w:cs="Times New Roman"/>
          <w:sz w:val="24"/>
          <w:szCs w:val="24"/>
          <w:lang w:val="en-GB"/>
        </w:rPr>
        <w:t>”</w:t>
      </w:r>
      <w:r w:rsidRPr="00060E7A">
        <w:rPr>
          <w:rFonts w:ascii="Times New Roman" w:hAnsi="Times New Roman" w:cs="Times New Roman"/>
          <w:sz w:val="24"/>
          <w:szCs w:val="24"/>
          <w:lang w:val="en-GB"/>
        </w:rPr>
        <w:t xml:space="preserve"> working in close cooperation with the government 2005-06 allocated substantial resources to research and development infrastructure with the purpose of enhancing competitiveness. Throughout the period, the Danish population has maintained the most optimistic perceptions of globalization in the EU, according to recurrent Eurobarometer polls.</w:t>
      </w:r>
    </w:p>
    <w:p w:rsidR="00F5609C" w:rsidRPr="00060E7A" w:rsidRDefault="00F5609C"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In these surroundings, it is hardly difficult to explain why there was widespread consensus over the welfare state, and why political trust increased. Unemployment disappeared as a political issue, restrictive immigration policies more than satisfied demands in the population, </w:t>
      </w:r>
      <w:r w:rsidR="00226B31">
        <w:rPr>
          <w:rFonts w:ascii="Times New Roman" w:hAnsi="Times New Roman" w:cs="Times New Roman"/>
          <w:sz w:val="24"/>
          <w:szCs w:val="24"/>
          <w:lang w:val="en-GB"/>
        </w:rPr>
        <w:t>the economy was apparently doing</w:t>
      </w:r>
      <w:r w:rsidRPr="00060E7A">
        <w:rPr>
          <w:rFonts w:ascii="Times New Roman" w:hAnsi="Times New Roman" w:cs="Times New Roman"/>
          <w:sz w:val="24"/>
          <w:szCs w:val="24"/>
          <w:lang w:val="en-GB"/>
        </w:rPr>
        <w:t xml:space="preserve"> well, and apart from side effects of rising house prices (causing higher imputed rent in calculations of inequality), outcomes in terms of equality remained basically unchanged. On closer inspection, there was an increase in poverty among immigrants receiving reduced social assistance, and the upper one per cent tended to have higher increases in income. Economic and political pressure for change were small.</w:t>
      </w:r>
    </w:p>
    <w:p w:rsidR="00F5609C" w:rsidRPr="00060E7A" w:rsidRDefault="00F5609C" w:rsidP="00D95423">
      <w:pPr>
        <w:rPr>
          <w:rFonts w:ascii="Times New Roman" w:hAnsi="Times New Roman" w:cs="Times New Roman"/>
          <w:sz w:val="24"/>
          <w:szCs w:val="24"/>
          <w:lang w:val="en-GB"/>
        </w:rPr>
      </w:pPr>
      <w:r w:rsidRPr="00060E7A">
        <w:rPr>
          <w:rFonts w:ascii="Times New Roman" w:hAnsi="Times New Roman" w:cs="Times New Roman"/>
          <w:sz w:val="24"/>
          <w:szCs w:val="24"/>
          <w:lang w:val="en-GB"/>
        </w:rPr>
        <w:t>As regards long-term sustainability of welfare (without increasing taxes), this was almost achieved; however, because of improv</w:t>
      </w:r>
      <w:r w:rsidR="006A7DDB" w:rsidRPr="00060E7A">
        <w:rPr>
          <w:rFonts w:ascii="Times New Roman" w:hAnsi="Times New Roman" w:cs="Times New Roman"/>
          <w:sz w:val="24"/>
          <w:szCs w:val="24"/>
          <w:lang w:val="en-GB"/>
        </w:rPr>
        <w:t>ed</w:t>
      </w:r>
      <w:r w:rsidRPr="00060E7A">
        <w:rPr>
          <w:rFonts w:ascii="Times New Roman" w:hAnsi="Times New Roman" w:cs="Times New Roman"/>
          <w:sz w:val="24"/>
          <w:szCs w:val="24"/>
          <w:lang w:val="en-GB"/>
        </w:rPr>
        <w:t xml:space="preserve"> life expectancy </w:t>
      </w:r>
      <w:r w:rsidR="006A7DDB" w:rsidRPr="00060E7A">
        <w:rPr>
          <w:rFonts w:ascii="Times New Roman" w:hAnsi="Times New Roman" w:cs="Times New Roman"/>
          <w:sz w:val="24"/>
          <w:szCs w:val="24"/>
          <w:lang w:val="en-GB"/>
        </w:rPr>
        <w:t>at the age of 60, the goal of long-term sustainability was not completely met. The consensual pro-welfare course was significantly challenged, however, when the great recession emerged as a tsunami in 2008.</w:t>
      </w:r>
    </w:p>
    <w:p w:rsidR="006A7DDB" w:rsidRPr="00060E7A" w:rsidRDefault="006A7DDB" w:rsidP="00086194">
      <w:pPr>
        <w:pStyle w:val="Heading1"/>
        <w:rPr>
          <w:lang w:val="en-GB"/>
        </w:rPr>
      </w:pPr>
      <w:bookmarkStart w:id="5" w:name="_Toc427117809"/>
      <w:r w:rsidRPr="00060E7A">
        <w:rPr>
          <w:lang w:val="en-GB"/>
        </w:rPr>
        <w:t>4. The Great Recession: A window of opportunity for structural reforms</w:t>
      </w:r>
      <w:bookmarkEnd w:id="5"/>
    </w:p>
    <w:p w:rsidR="00484312" w:rsidRPr="00060E7A" w:rsidRDefault="00262F77" w:rsidP="00262F77">
      <w:pPr>
        <w:rPr>
          <w:rFonts w:ascii="Times New Roman" w:hAnsi="Times New Roman" w:cs="Times New Roman"/>
          <w:sz w:val="24"/>
          <w:szCs w:val="24"/>
          <w:lang w:val="en-GB"/>
        </w:rPr>
      </w:pPr>
      <w:r w:rsidRPr="00060E7A">
        <w:rPr>
          <w:rFonts w:ascii="Times New Roman" w:hAnsi="Times New Roman" w:cs="Times New Roman"/>
          <w:sz w:val="24"/>
          <w:szCs w:val="24"/>
          <w:lang w:val="en-GB"/>
        </w:rPr>
        <w:t>In Denmark, t</w:t>
      </w:r>
      <w:r w:rsidR="00DC7A20" w:rsidRPr="00060E7A">
        <w:rPr>
          <w:rFonts w:ascii="Times New Roman" w:hAnsi="Times New Roman" w:cs="Times New Roman"/>
          <w:sz w:val="24"/>
          <w:szCs w:val="24"/>
          <w:lang w:val="en-GB"/>
        </w:rPr>
        <w:t>sunami is perhaps a misleading metaphor for the arrival of the great recession, since it had equally strong domestic sources. Like in the other Nordic countries two decades earlier, credit liberalization had boosted a credit and house price bubble. Denmark and Iceland had largely avoided the Nordic bank crisis in the early 1990s, but both countries had basically the same experience from 2008 onwards. To be sure, the expansion of bank credits was much more radical in Iceland, but the same mechanism of borrowing money cheaply at the international interbank market and lending out more money than allowed by the savings deposit was also followed by the Danish banks, building a deposit deficit of some 50 per cent of GDP from 2004 to 2008</w:t>
      </w:r>
      <w:r w:rsidR="00484312" w:rsidRPr="00060E7A">
        <w:rPr>
          <w:rFonts w:ascii="Times New Roman" w:hAnsi="Times New Roman" w:cs="Times New Roman"/>
          <w:sz w:val="24"/>
          <w:szCs w:val="24"/>
          <w:lang w:val="en-GB"/>
        </w:rPr>
        <w:t>.</w:t>
      </w:r>
    </w:p>
    <w:p w:rsidR="00F5609C" w:rsidRPr="00060E7A" w:rsidRDefault="00484312" w:rsidP="00262F77">
      <w:pPr>
        <w:rPr>
          <w:rFonts w:ascii="Times New Roman" w:hAnsi="Times New Roman" w:cs="Times New Roman"/>
          <w:sz w:val="24"/>
          <w:szCs w:val="24"/>
          <w:lang w:val="en-GB"/>
        </w:rPr>
      </w:pPr>
      <w:r w:rsidRPr="00060E7A">
        <w:rPr>
          <w:rFonts w:ascii="Times New Roman" w:hAnsi="Times New Roman" w:cs="Times New Roman"/>
          <w:sz w:val="24"/>
          <w:szCs w:val="24"/>
          <w:lang w:val="en-GB"/>
        </w:rPr>
        <w:t>House prices had peaked already in 2006/07, and consumer confidence and economic growth had declined markedly already from the beginning of 2008. When the Lehman Brothers collapsed on Sep. 15 2008, the largest Danish bank soon found itself in a dire situation, but it was lucky to avoid a collapse before the Danish government provided an unlimited guarantee (amounting to 200 per cent of GDP) for all bank deposits in early October 2008. The banks themselves provided m</w:t>
      </w:r>
      <w:r w:rsidR="00262F77" w:rsidRPr="00060E7A">
        <w:rPr>
          <w:rFonts w:ascii="Times New Roman" w:hAnsi="Times New Roman" w:cs="Times New Roman"/>
          <w:sz w:val="24"/>
          <w:szCs w:val="24"/>
          <w:lang w:val="en-GB"/>
        </w:rPr>
        <w:t>ost</w:t>
      </w:r>
      <w:r w:rsidRPr="00060E7A">
        <w:rPr>
          <w:rFonts w:ascii="Times New Roman" w:hAnsi="Times New Roman" w:cs="Times New Roman"/>
          <w:sz w:val="24"/>
          <w:szCs w:val="24"/>
          <w:lang w:val="en-GB"/>
        </w:rPr>
        <w:t xml:space="preserve"> of the money for bailout of suffering banks, and </w:t>
      </w:r>
      <w:r w:rsidR="00262F77" w:rsidRPr="00060E7A">
        <w:rPr>
          <w:rFonts w:ascii="Times New Roman" w:hAnsi="Times New Roman" w:cs="Times New Roman"/>
          <w:sz w:val="24"/>
          <w:szCs w:val="24"/>
          <w:lang w:val="en-GB"/>
        </w:rPr>
        <w:t xml:space="preserve">the state provided extra security for most Danish banks, but at an interest rate close to ten per cent. Altogether, </w:t>
      </w:r>
      <w:r w:rsidRPr="00060E7A">
        <w:rPr>
          <w:rFonts w:ascii="Times New Roman" w:hAnsi="Times New Roman" w:cs="Times New Roman"/>
          <w:sz w:val="24"/>
          <w:szCs w:val="24"/>
          <w:lang w:val="en-GB"/>
        </w:rPr>
        <w:t>six subsequent “banking packages”</w:t>
      </w:r>
      <w:r w:rsidR="00262F77" w:rsidRPr="00060E7A">
        <w:rPr>
          <w:rFonts w:ascii="Times New Roman" w:hAnsi="Times New Roman" w:cs="Times New Roman"/>
          <w:sz w:val="24"/>
          <w:szCs w:val="24"/>
          <w:lang w:val="en-GB"/>
        </w:rPr>
        <w:t xml:space="preserve"> were adopted</w:t>
      </w:r>
      <w:r w:rsidRPr="00060E7A">
        <w:rPr>
          <w:rFonts w:ascii="Times New Roman" w:hAnsi="Times New Roman" w:cs="Times New Roman"/>
          <w:sz w:val="24"/>
          <w:szCs w:val="24"/>
          <w:lang w:val="en-GB"/>
        </w:rPr>
        <w:t xml:space="preserve">, </w:t>
      </w:r>
      <w:r w:rsidR="00262F77" w:rsidRPr="00060E7A">
        <w:rPr>
          <w:rFonts w:ascii="Times New Roman" w:hAnsi="Times New Roman" w:cs="Times New Roman"/>
          <w:sz w:val="24"/>
          <w:szCs w:val="24"/>
          <w:lang w:val="en-GB"/>
        </w:rPr>
        <w:t xml:space="preserve">but </w:t>
      </w:r>
      <w:r w:rsidRPr="00060E7A">
        <w:rPr>
          <w:rFonts w:ascii="Times New Roman" w:hAnsi="Times New Roman" w:cs="Times New Roman"/>
          <w:sz w:val="24"/>
          <w:szCs w:val="24"/>
          <w:lang w:val="en-GB"/>
        </w:rPr>
        <w:t xml:space="preserve">the Danish state avoided losing </w:t>
      </w:r>
      <w:r w:rsidR="00262F77" w:rsidRPr="00060E7A">
        <w:rPr>
          <w:rFonts w:ascii="Times New Roman" w:hAnsi="Times New Roman" w:cs="Times New Roman"/>
          <w:sz w:val="24"/>
          <w:szCs w:val="24"/>
          <w:lang w:val="en-GB"/>
        </w:rPr>
        <w:t xml:space="preserve">any </w:t>
      </w:r>
      <w:r w:rsidRPr="00060E7A">
        <w:rPr>
          <w:rFonts w:ascii="Times New Roman" w:hAnsi="Times New Roman" w:cs="Times New Roman"/>
          <w:sz w:val="24"/>
          <w:szCs w:val="24"/>
          <w:lang w:val="en-GB"/>
        </w:rPr>
        <w:t>money on the banking crisis.</w:t>
      </w:r>
    </w:p>
    <w:tbl>
      <w:tblPr>
        <w:tblStyle w:val="TableGrid"/>
        <w:tblW w:w="0" w:type="auto"/>
        <w:tblLook w:val="04A0" w:firstRow="1" w:lastRow="0" w:firstColumn="1" w:lastColumn="0" w:noHBand="0" w:noVBand="1"/>
      </w:tblPr>
      <w:tblGrid>
        <w:gridCol w:w="9854"/>
      </w:tblGrid>
      <w:tr w:rsidR="009615DD" w:rsidRPr="00060E7A" w:rsidTr="009615DD">
        <w:trPr>
          <w:trHeight w:val="8274"/>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DD" w:rsidRPr="00060E7A" w:rsidRDefault="009615DD">
            <w:pPr>
              <w:rPr>
                <w:rFonts w:cstheme="minorBidi"/>
                <w:b/>
                <w:bCs/>
                <w:sz w:val="32"/>
                <w:szCs w:val="32"/>
                <w:lang w:val="en-GB"/>
              </w:rPr>
            </w:pPr>
            <w:r w:rsidRPr="00060E7A">
              <w:rPr>
                <w:b/>
                <w:bCs/>
                <w:sz w:val="32"/>
                <w:szCs w:val="32"/>
                <w:lang w:val="en-GB"/>
              </w:rPr>
              <w:t>Overview: Danish welfare state reforms during the crisis</w:t>
            </w:r>
          </w:p>
          <w:p w:rsidR="009615DD" w:rsidRPr="00060E7A" w:rsidRDefault="009615DD">
            <w:pPr>
              <w:rPr>
                <w:b/>
                <w:bCs/>
                <w:sz w:val="32"/>
                <w:szCs w:val="32"/>
                <w:lang w:val="en-GB"/>
              </w:rPr>
            </w:pPr>
          </w:p>
          <w:p w:rsidR="009615DD" w:rsidRPr="00060E7A" w:rsidRDefault="009615DD">
            <w:pPr>
              <w:rPr>
                <w:b/>
                <w:bCs/>
                <w:sz w:val="22"/>
                <w:szCs w:val="22"/>
                <w:u w:val="single"/>
                <w:lang w:val="en-GB"/>
              </w:rPr>
            </w:pPr>
            <w:r w:rsidRPr="00060E7A">
              <w:rPr>
                <w:b/>
                <w:bCs/>
                <w:u w:val="single"/>
                <w:lang w:val="en-GB"/>
              </w:rPr>
              <w:t>Continuity until May 2010</w:t>
            </w:r>
          </w:p>
          <w:p w:rsidR="009615DD" w:rsidRPr="00060E7A" w:rsidRDefault="009615DD" w:rsidP="009615DD">
            <w:pPr>
              <w:pStyle w:val="ListParagraph"/>
              <w:numPr>
                <w:ilvl w:val="0"/>
                <w:numId w:val="5"/>
              </w:numPr>
              <w:rPr>
                <w:lang w:val="en-GB"/>
              </w:rPr>
            </w:pPr>
            <w:r w:rsidRPr="00060E7A">
              <w:rPr>
                <w:lang w:val="en-GB"/>
              </w:rPr>
              <w:t>2009  Tax Reform; reducing marginal taxes, increasing employment tax credit</w:t>
            </w:r>
          </w:p>
          <w:p w:rsidR="009615DD" w:rsidRPr="00060E7A" w:rsidRDefault="009615DD" w:rsidP="009615DD">
            <w:pPr>
              <w:pStyle w:val="ListParagraph"/>
              <w:numPr>
                <w:ilvl w:val="0"/>
                <w:numId w:val="5"/>
              </w:numPr>
              <w:rPr>
                <w:lang w:val="en-GB"/>
              </w:rPr>
            </w:pPr>
            <w:r w:rsidRPr="00060E7A">
              <w:rPr>
                <w:lang w:val="en-GB"/>
              </w:rPr>
              <w:t xml:space="preserve">2009  Keynesian crisis response; Basically continuity until May 2010 </w:t>
            </w:r>
          </w:p>
          <w:p w:rsidR="009615DD" w:rsidRPr="00060E7A" w:rsidRDefault="009615DD" w:rsidP="009615DD">
            <w:pPr>
              <w:pStyle w:val="ListParagraph"/>
              <w:numPr>
                <w:ilvl w:val="0"/>
                <w:numId w:val="5"/>
              </w:numPr>
              <w:rPr>
                <w:lang w:val="en-GB"/>
              </w:rPr>
            </w:pPr>
          </w:p>
          <w:p w:rsidR="009615DD" w:rsidRPr="00060E7A" w:rsidRDefault="009615DD">
            <w:pPr>
              <w:rPr>
                <w:lang w:val="en-GB"/>
              </w:rPr>
            </w:pPr>
            <w:r w:rsidRPr="00060E7A">
              <w:rPr>
                <w:b/>
                <w:bCs/>
                <w:u w:val="single"/>
                <w:lang w:val="en-GB"/>
              </w:rPr>
              <w:t>Path breaking reforms from May 2010</w:t>
            </w:r>
          </w:p>
          <w:p w:rsidR="009615DD" w:rsidRPr="00060E7A" w:rsidRDefault="009615DD" w:rsidP="009615DD">
            <w:pPr>
              <w:pStyle w:val="ListParagraph"/>
              <w:numPr>
                <w:ilvl w:val="0"/>
                <w:numId w:val="6"/>
              </w:numPr>
              <w:rPr>
                <w:lang w:val="en-GB"/>
              </w:rPr>
            </w:pPr>
            <w:r w:rsidRPr="00060E7A">
              <w:rPr>
                <w:b/>
                <w:bCs/>
                <w:u w:val="single"/>
                <w:lang w:val="en-GB"/>
              </w:rPr>
              <w:t>May 2010   “Recovery plan”</w:t>
            </w:r>
            <w:r w:rsidRPr="00060E7A">
              <w:rPr>
                <w:lang w:val="en-GB"/>
              </w:rPr>
              <w:t>: Austerity (+financing 2007 tax reform)</w:t>
            </w:r>
          </w:p>
          <w:p w:rsidR="009615DD" w:rsidRPr="00060E7A" w:rsidRDefault="009615DD">
            <w:pPr>
              <w:rPr>
                <w:lang w:val="en-GB"/>
              </w:rPr>
            </w:pPr>
            <w:r w:rsidRPr="00060E7A">
              <w:rPr>
                <w:lang w:val="en-GB"/>
              </w:rPr>
              <w:tab/>
            </w:r>
            <w:r w:rsidRPr="00060E7A">
              <w:rPr>
                <w:lang w:val="en-GB"/>
              </w:rPr>
              <w:tab/>
              <w:t xml:space="preserve">-  </w:t>
            </w:r>
            <w:r w:rsidRPr="00060E7A">
              <w:rPr>
                <w:b/>
                <w:bCs/>
                <w:u w:val="single"/>
                <w:lang w:val="en-GB"/>
              </w:rPr>
              <w:t>zero/negative growth in public consumption</w:t>
            </w:r>
            <w:r w:rsidRPr="00060E7A">
              <w:rPr>
                <w:lang w:val="en-GB"/>
              </w:rPr>
              <w:t xml:space="preserve"> from 3.Q.2010</w:t>
            </w:r>
          </w:p>
          <w:p w:rsidR="009615DD" w:rsidRPr="00060E7A" w:rsidRDefault="009615DD">
            <w:pPr>
              <w:rPr>
                <w:lang w:val="en-GB"/>
              </w:rPr>
            </w:pPr>
            <w:r w:rsidRPr="00060E7A">
              <w:rPr>
                <w:lang w:val="en-GB"/>
              </w:rPr>
              <w:tab/>
            </w:r>
            <w:r w:rsidRPr="00060E7A">
              <w:rPr>
                <w:lang w:val="en-GB"/>
              </w:rPr>
              <w:tab/>
              <w:t xml:space="preserve">-  </w:t>
            </w:r>
            <w:r w:rsidRPr="00060E7A">
              <w:rPr>
                <w:b/>
                <w:bCs/>
                <w:u w:val="single"/>
                <w:lang w:val="en-GB"/>
              </w:rPr>
              <w:t>Labour market reform</w:t>
            </w:r>
            <w:r w:rsidRPr="00060E7A">
              <w:rPr>
                <w:lang w:val="en-GB"/>
              </w:rPr>
              <w:t xml:space="preserve"> dramatically tightening duration &amp; requalification </w:t>
            </w:r>
          </w:p>
          <w:p w:rsidR="009615DD" w:rsidRPr="00060E7A" w:rsidRDefault="009615DD">
            <w:pPr>
              <w:rPr>
                <w:lang w:val="en-GB"/>
              </w:rPr>
            </w:pPr>
            <w:r w:rsidRPr="00060E7A">
              <w:rPr>
                <w:lang w:val="en-GB"/>
              </w:rPr>
              <w:t xml:space="preserve">                                    for unemployment insurance</w:t>
            </w:r>
          </w:p>
          <w:p w:rsidR="009615DD" w:rsidRPr="00060E7A" w:rsidRDefault="009615DD">
            <w:pPr>
              <w:rPr>
                <w:lang w:val="en-GB"/>
              </w:rPr>
            </w:pPr>
            <w:r w:rsidRPr="00060E7A">
              <w:rPr>
                <w:lang w:val="en-GB"/>
              </w:rPr>
              <w:tab/>
            </w:r>
            <w:r w:rsidRPr="00060E7A">
              <w:rPr>
                <w:lang w:val="en-GB"/>
              </w:rPr>
              <w:tab/>
              <w:t xml:space="preserve">-  </w:t>
            </w:r>
            <w:r w:rsidRPr="00060E7A">
              <w:rPr>
                <w:b/>
                <w:bCs/>
                <w:u w:val="single"/>
                <w:lang w:val="en-GB"/>
              </w:rPr>
              <w:t>cumulative limit for child benefits</w:t>
            </w:r>
            <w:r w:rsidRPr="00060E7A">
              <w:rPr>
                <w:lang w:val="en-GB"/>
              </w:rPr>
              <w:t>: Benefits for 2-3 children; zero benefits</w:t>
            </w:r>
          </w:p>
          <w:p w:rsidR="009615DD" w:rsidRPr="00060E7A" w:rsidRDefault="009615DD">
            <w:pPr>
              <w:rPr>
                <w:lang w:val="en-GB"/>
              </w:rPr>
            </w:pPr>
            <w:r w:rsidRPr="00060E7A">
              <w:rPr>
                <w:lang w:val="en-GB"/>
              </w:rPr>
              <w:t xml:space="preserve">                                    for subsequent children (repealed 2012 alongside other measures targeted</w:t>
            </w:r>
          </w:p>
          <w:p w:rsidR="009615DD" w:rsidRPr="00060E7A" w:rsidRDefault="009615DD">
            <w:pPr>
              <w:rPr>
                <w:lang w:val="en-GB"/>
              </w:rPr>
            </w:pPr>
            <w:r w:rsidRPr="00060E7A">
              <w:rPr>
                <w:lang w:val="en-GB"/>
              </w:rPr>
              <w:t xml:space="preserve">                                    at non-western immigrants; the child benefit limit actually missed the target;</w:t>
            </w:r>
          </w:p>
          <w:p w:rsidR="009615DD" w:rsidRPr="00060E7A" w:rsidRDefault="009615DD">
            <w:pPr>
              <w:rPr>
                <w:lang w:val="en-GB"/>
              </w:rPr>
            </w:pPr>
            <w:r w:rsidRPr="00060E7A">
              <w:rPr>
                <w:lang w:val="en-GB"/>
              </w:rPr>
              <w:t xml:space="preserve">                                    it was based on a miscalculation)</w:t>
            </w:r>
          </w:p>
          <w:p w:rsidR="009615DD" w:rsidRPr="00060E7A" w:rsidRDefault="009615DD" w:rsidP="009615DD">
            <w:pPr>
              <w:pStyle w:val="ListParagraph"/>
              <w:numPr>
                <w:ilvl w:val="0"/>
                <w:numId w:val="6"/>
              </w:numPr>
              <w:rPr>
                <w:lang w:val="en-GB"/>
              </w:rPr>
            </w:pPr>
            <w:r w:rsidRPr="00060E7A">
              <w:rPr>
                <w:b/>
                <w:bCs/>
                <w:u w:val="single"/>
                <w:lang w:val="en-GB"/>
              </w:rPr>
              <w:t>2011 Retirement reform</w:t>
            </w:r>
            <w:r w:rsidRPr="00060E7A">
              <w:rPr>
                <w:lang w:val="en-GB"/>
              </w:rPr>
              <w:t xml:space="preserve"> de facto abandoning voluntary early retirement (</w:t>
            </w:r>
            <w:r w:rsidRPr="00060E7A">
              <w:rPr>
                <w:i/>
                <w:iCs/>
                <w:lang w:val="en-GB"/>
              </w:rPr>
              <w:t>efterløn</w:t>
            </w:r>
            <w:r w:rsidRPr="00060E7A">
              <w:rPr>
                <w:lang w:val="en-GB"/>
              </w:rPr>
              <w:t>) over a</w:t>
            </w:r>
          </w:p>
          <w:p w:rsidR="009615DD" w:rsidRPr="00060E7A" w:rsidRDefault="009615DD">
            <w:pPr>
              <w:rPr>
                <w:lang w:val="en-GB"/>
              </w:rPr>
            </w:pPr>
            <w:r w:rsidRPr="00060E7A">
              <w:rPr>
                <w:lang w:val="en-GB"/>
              </w:rPr>
              <w:t xml:space="preserve">                                    short span of years</w:t>
            </w:r>
          </w:p>
          <w:p w:rsidR="009615DD" w:rsidRPr="00060E7A" w:rsidRDefault="009615DD" w:rsidP="009615DD">
            <w:pPr>
              <w:pStyle w:val="ListParagraph"/>
              <w:numPr>
                <w:ilvl w:val="0"/>
                <w:numId w:val="6"/>
              </w:numPr>
              <w:rPr>
                <w:lang w:val="en-GB"/>
              </w:rPr>
            </w:pPr>
            <w:r w:rsidRPr="00060E7A">
              <w:rPr>
                <w:b/>
                <w:bCs/>
                <w:u w:val="single"/>
                <w:lang w:val="en-GB"/>
              </w:rPr>
              <w:t>2012 Tax Reform</w:t>
            </w:r>
            <w:r w:rsidRPr="00060E7A">
              <w:rPr>
                <w:lang w:val="en-GB"/>
              </w:rPr>
              <w:t>: Tax relief for the employed (in particular increasing tax credits of the</w:t>
            </w:r>
          </w:p>
          <w:p w:rsidR="009615DD" w:rsidRPr="00060E7A" w:rsidRDefault="009615DD">
            <w:pPr>
              <w:rPr>
                <w:lang w:val="en-GB"/>
              </w:rPr>
            </w:pPr>
            <w:r w:rsidRPr="00060E7A">
              <w:rPr>
                <w:lang w:val="en-GB"/>
              </w:rPr>
              <w:t xml:space="preserve">                                    employed; co-financed by cutbacks in the indexation of social transfers;  </w:t>
            </w:r>
          </w:p>
          <w:p w:rsidR="009615DD" w:rsidRPr="00060E7A" w:rsidRDefault="009615DD">
            <w:pPr>
              <w:rPr>
                <w:lang w:val="en-GB"/>
              </w:rPr>
            </w:pPr>
            <w:r w:rsidRPr="00060E7A">
              <w:rPr>
                <w:lang w:val="en-GB"/>
              </w:rPr>
              <w:t xml:space="preserve">                                    De-universalisation (income testing) of child benefits</w:t>
            </w:r>
          </w:p>
          <w:p w:rsidR="009615DD" w:rsidRPr="00060E7A" w:rsidRDefault="009615DD" w:rsidP="009615DD">
            <w:pPr>
              <w:pStyle w:val="ListParagraph"/>
              <w:numPr>
                <w:ilvl w:val="0"/>
                <w:numId w:val="6"/>
              </w:numPr>
              <w:rPr>
                <w:lang w:val="en-GB"/>
              </w:rPr>
            </w:pPr>
            <w:r w:rsidRPr="00060E7A">
              <w:rPr>
                <w:b/>
                <w:bCs/>
                <w:u w:val="single"/>
                <w:lang w:val="en-GB"/>
              </w:rPr>
              <w:t>2012 Disability pension reform + flex job reform</w:t>
            </w:r>
            <w:r w:rsidRPr="00060E7A">
              <w:rPr>
                <w:lang w:val="en-GB"/>
              </w:rPr>
              <w:t xml:space="preserve">. Access to </w:t>
            </w:r>
            <w:r w:rsidRPr="00060E7A">
              <w:rPr>
                <w:b/>
                <w:bCs/>
                <w:u w:val="single"/>
                <w:lang w:val="en-GB"/>
              </w:rPr>
              <w:t>disability pension</w:t>
            </w:r>
            <w:r w:rsidRPr="00060E7A">
              <w:rPr>
                <w:lang w:val="en-GB"/>
              </w:rPr>
              <w:t xml:space="preserve"> requires a long</w:t>
            </w:r>
          </w:p>
          <w:p w:rsidR="009615DD" w:rsidRPr="00060E7A" w:rsidRDefault="009615DD">
            <w:pPr>
              <w:rPr>
                <w:lang w:val="en-GB"/>
              </w:rPr>
            </w:pPr>
            <w:r w:rsidRPr="00060E7A">
              <w:rPr>
                <w:lang w:val="en-GB"/>
              </w:rPr>
              <w:t xml:space="preserve">                                    testing period to find out whether the claimant has </w:t>
            </w:r>
            <w:r w:rsidRPr="00060E7A">
              <w:rPr>
                <w:i/>
                <w:iCs/>
                <w:lang w:val="en-GB"/>
              </w:rPr>
              <w:t>any</w:t>
            </w:r>
            <w:r w:rsidRPr="00060E7A">
              <w:rPr>
                <w:lang w:val="en-GB"/>
              </w:rPr>
              <w:t xml:space="preserve"> employability left (this is</w:t>
            </w:r>
          </w:p>
          <w:p w:rsidR="009615DD" w:rsidRPr="00060E7A" w:rsidRDefault="009615DD">
            <w:pPr>
              <w:rPr>
                <w:lang w:val="en-GB"/>
              </w:rPr>
            </w:pPr>
            <w:r w:rsidRPr="00060E7A">
              <w:rPr>
                <w:lang w:val="en-GB"/>
              </w:rPr>
              <w:t xml:space="preserve">                                    taken very literally and tends to make a disability pensioner ineligible for public office.</w:t>
            </w:r>
          </w:p>
          <w:p w:rsidR="009615DD" w:rsidRPr="00060E7A" w:rsidRDefault="009615DD">
            <w:pPr>
              <w:rPr>
                <w:lang w:val="en-GB"/>
              </w:rPr>
            </w:pPr>
            <w:r w:rsidRPr="00060E7A">
              <w:rPr>
                <w:lang w:val="en-GB"/>
              </w:rPr>
              <w:t xml:space="preserve">                                    During the testing period the claimant receives a lower support such as social assistance; </w:t>
            </w:r>
          </w:p>
          <w:p w:rsidR="009615DD" w:rsidRPr="00060E7A" w:rsidRDefault="009615DD">
            <w:pPr>
              <w:rPr>
                <w:lang w:val="en-GB"/>
              </w:rPr>
            </w:pPr>
            <w:r w:rsidRPr="00060E7A">
              <w:rPr>
                <w:lang w:val="en-GB"/>
              </w:rPr>
              <w:t xml:space="preserve">                                    In the first year this caused a 60 per cent drop in granting of disability pension.</w:t>
            </w:r>
          </w:p>
          <w:p w:rsidR="009615DD" w:rsidRPr="00060E7A" w:rsidRDefault="009615DD">
            <w:pPr>
              <w:rPr>
                <w:lang w:val="en-GB"/>
              </w:rPr>
            </w:pPr>
            <w:r w:rsidRPr="00060E7A">
              <w:rPr>
                <w:lang w:val="en-GB"/>
              </w:rPr>
              <w:t xml:space="preserve">                                    </w:t>
            </w:r>
            <w:r w:rsidRPr="00060E7A">
              <w:rPr>
                <w:b/>
                <w:bCs/>
                <w:u w:val="single"/>
                <w:lang w:val="en-GB"/>
              </w:rPr>
              <w:t>Flex job reform:</w:t>
            </w:r>
            <w:r w:rsidRPr="00060E7A">
              <w:rPr>
                <w:lang w:val="en-GB"/>
              </w:rPr>
              <w:t xml:space="preserve"> Previously the employer was compensated so that the employed</w:t>
            </w:r>
          </w:p>
          <w:p w:rsidR="009615DD" w:rsidRPr="00060E7A" w:rsidRDefault="009615DD">
            <w:pPr>
              <w:rPr>
                <w:lang w:val="en-GB"/>
              </w:rPr>
            </w:pPr>
            <w:r w:rsidRPr="00060E7A">
              <w:rPr>
                <w:lang w:val="en-GB"/>
              </w:rPr>
              <w:t xml:space="preserve">                                    could maintain an ordinary wage. Changed into a small income-tested subsidy for the</w:t>
            </w:r>
          </w:p>
          <w:p w:rsidR="009615DD" w:rsidRPr="00060E7A" w:rsidRDefault="009615DD">
            <w:pPr>
              <w:rPr>
                <w:lang w:val="en-GB"/>
              </w:rPr>
            </w:pPr>
            <w:r w:rsidRPr="00060E7A">
              <w:rPr>
                <w:lang w:val="en-GB"/>
              </w:rPr>
              <w:t xml:space="preserve">                                    employed making it possible only to maintain a low wage. </w:t>
            </w:r>
          </w:p>
          <w:p w:rsidR="009615DD" w:rsidRPr="00060E7A" w:rsidRDefault="009615DD" w:rsidP="009615DD">
            <w:pPr>
              <w:pStyle w:val="ListParagraph"/>
              <w:numPr>
                <w:ilvl w:val="0"/>
                <w:numId w:val="6"/>
              </w:numPr>
              <w:rPr>
                <w:lang w:val="en-GB"/>
              </w:rPr>
            </w:pPr>
            <w:r w:rsidRPr="00060E7A">
              <w:rPr>
                <w:b/>
                <w:bCs/>
                <w:u w:val="single"/>
                <w:lang w:val="en-GB"/>
              </w:rPr>
              <w:t>2013 Growth reform</w:t>
            </w:r>
            <w:r w:rsidRPr="00060E7A">
              <w:rPr>
                <w:lang w:val="en-GB"/>
              </w:rPr>
              <w:t xml:space="preserve">: Corporate taxes reduced from 25 to 22 %, for the first time </w:t>
            </w:r>
            <w:r w:rsidRPr="00060E7A">
              <w:rPr>
                <w:i/>
                <w:iCs/>
                <w:lang w:val="en-GB"/>
              </w:rPr>
              <w:t xml:space="preserve">not </w:t>
            </w:r>
            <w:r w:rsidRPr="00060E7A">
              <w:rPr>
                <w:lang w:val="en-GB"/>
              </w:rPr>
              <w:t xml:space="preserve">co-financed by </w:t>
            </w:r>
          </w:p>
          <w:p w:rsidR="009615DD" w:rsidRPr="00060E7A" w:rsidRDefault="009615DD">
            <w:pPr>
              <w:rPr>
                <w:lang w:val="en-GB"/>
              </w:rPr>
            </w:pPr>
            <w:r w:rsidRPr="00060E7A">
              <w:rPr>
                <w:lang w:val="en-GB"/>
              </w:rPr>
              <w:t xml:space="preserve">                                   any broadening of the tax base</w:t>
            </w:r>
          </w:p>
          <w:p w:rsidR="009615DD" w:rsidRPr="00060E7A" w:rsidRDefault="009615DD" w:rsidP="009615DD">
            <w:pPr>
              <w:pStyle w:val="ListParagraph"/>
              <w:numPr>
                <w:ilvl w:val="0"/>
                <w:numId w:val="6"/>
              </w:numPr>
              <w:rPr>
                <w:b/>
                <w:bCs/>
                <w:sz w:val="32"/>
                <w:szCs w:val="32"/>
                <w:lang w:val="en-GB"/>
              </w:rPr>
            </w:pPr>
            <w:r w:rsidRPr="00060E7A">
              <w:rPr>
                <w:b/>
                <w:bCs/>
                <w:u w:val="single"/>
                <w:lang w:val="en-GB"/>
              </w:rPr>
              <w:t>2012-2014 Successive packages to alleviate the impact of the 2010 labour market reform</w:t>
            </w:r>
            <w:r w:rsidRPr="00060E7A">
              <w:rPr>
                <w:lang w:val="en-GB"/>
              </w:rPr>
              <w:t xml:space="preserve">, securing social assistance-level support for most dropouts from the unemployment benefit system </w:t>
            </w:r>
          </w:p>
        </w:tc>
      </w:tr>
    </w:tbl>
    <w:p w:rsidR="009615DD" w:rsidRPr="00060E7A" w:rsidRDefault="009615DD" w:rsidP="009615DD">
      <w:pPr>
        <w:spacing w:after="0" w:line="240" w:lineRule="auto"/>
        <w:rPr>
          <w:lang w:val="en-GB"/>
        </w:rPr>
      </w:pPr>
    </w:p>
    <w:p w:rsidR="009C0C45" w:rsidRPr="00060E7A" w:rsidRDefault="009C0C45" w:rsidP="009C0C45">
      <w:pPr>
        <w:rPr>
          <w:rFonts w:ascii="Times New Roman" w:hAnsi="Times New Roman" w:cs="Times New Roman"/>
          <w:sz w:val="24"/>
          <w:szCs w:val="24"/>
          <w:lang w:val="en-GB"/>
        </w:rPr>
      </w:pPr>
      <w:r w:rsidRPr="00060E7A">
        <w:rPr>
          <w:rFonts w:ascii="Times New Roman" w:hAnsi="Times New Roman" w:cs="Times New Roman"/>
          <w:sz w:val="24"/>
          <w:szCs w:val="24"/>
          <w:lang w:val="en-GB"/>
        </w:rPr>
        <w:t>Nonetheless, economic growth declined substantially, by 5.8 per cent in 2008-2009. This was in fact the largest setback in the Danish economy in peacetime since 1820, but unlike in most other countries, the Danish economy did not really begin to recover until 2014.</w:t>
      </w:r>
    </w:p>
    <w:p w:rsidR="009C0C45" w:rsidRPr="00060E7A" w:rsidRDefault="009C0C45" w:rsidP="009C0C45">
      <w:pPr>
        <w:rPr>
          <w:rFonts w:ascii="Times New Roman" w:hAnsi="Times New Roman" w:cs="Times New Roman"/>
          <w:sz w:val="24"/>
          <w:szCs w:val="24"/>
          <w:lang w:val="en-GB"/>
        </w:rPr>
      </w:pPr>
      <w:r w:rsidRPr="00060E7A">
        <w:rPr>
          <w:rFonts w:ascii="Times New Roman" w:hAnsi="Times New Roman" w:cs="Times New Roman"/>
          <w:sz w:val="24"/>
          <w:szCs w:val="24"/>
          <w:lang w:val="en-GB"/>
        </w:rPr>
        <w:t>In 2009, all countries were Keynesian for a short while, but the imbalances of the Euro system and the political preferences of the German government triggered a turn to austerity in Europe, and Denmark followed the German course. In May 2010, the government alongside with the Danish People’s Party (and supported by the Radical Liberals) adopted a “reconstruction package” including a strong tightening of unemployment insurance and an immediate stop for public expenditure increases leading to a negative growth in public consumption of 1.4 per cent in 2011. The retrenchment of unemployment insurance reduced duration of benefits from four years to two years, and at the same time doubled the requalification requirement from six to twelve months of full-time employment.</w:t>
      </w:r>
    </w:p>
    <w:p w:rsidR="009C0C45" w:rsidRPr="00060E7A" w:rsidRDefault="009C0C45" w:rsidP="009C0C45">
      <w:pPr>
        <w:rPr>
          <w:rFonts w:ascii="Times New Roman" w:hAnsi="Times New Roman" w:cs="Times New Roman"/>
          <w:sz w:val="24"/>
          <w:szCs w:val="24"/>
          <w:lang w:val="en-GB"/>
        </w:rPr>
      </w:pPr>
      <w:r w:rsidRPr="00060E7A">
        <w:rPr>
          <w:rFonts w:ascii="Times New Roman" w:hAnsi="Times New Roman" w:cs="Times New Roman"/>
          <w:sz w:val="24"/>
          <w:szCs w:val="24"/>
          <w:lang w:val="en-GB"/>
        </w:rPr>
        <w:t>Allegedly, the 2010 reform should “clean up” after the initiatives to stimulate consumption in 2009; however, it also provided financing for the tax relief of 2007 which only became effective from 2009. In a large number of adju</w:t>
      </w:r>
      <w:r w:rsidR="00226B31">
        <w:rPr>
          <w:rFonts w:ascii="Times New Roman" w:hAnsi="Times New Roman" w:cs="Times New Roman"/>
          <w:sz w:val="24"/>
          <w:szCs w:val="24"/>
          <w:lang w:val="en-GB"/>
        </w:rPr>
        <w:t>sted</w:t>
      </w:r>
      <w:r w:rsidRPr="00060E7A">
        <w:rPr>
          <w:rFonts w:ascii="Times New Roman" w:hAnsi="Times New Roman" w:cs="Times New Roman"/>
          <w:sz w:val="24"/>
          <w:szCs w:val="24"/>
          <w:lang w:val="en-GB"/>
        </w:rPr>
        <w:t xml:space="preserve"> future budget deficits</w:t>
      </w:r>
      <w:r w:rsidR="00226B31">
        <w:rPr>
          <w:rFonts w:ascii="Times New Roman" w:hAnsi="Times New Roman" w:cs="Times New Roman"/>
          <w:sz w:val="24"/>
          <w:szCs w:val="24"/>
          <w:lang w:val="en-GB"/>
        </w:rPr>
        <w:t xml:space="preserve"> projections</w:t>
      </w:r>
      <w:r w:rsidRPr="00060E7A">
        <w:rPr>
          <w:rFonts w:ascii="Times New Roman" w:hAnsi="Times New Roman" w:cs="Times New Roman"/>
          <w:sz w:val="24"/>
          <w:szCs w:val="24"/>
          <w:lang w:val="en-GB"/>
        </w:rPr>
        <w:t xml:space="preserve"> – always coming too late – the government ended up with a projection of a deficit of some 5 per cent of GDP. This contributed to release a formal recommendation from the EU Commission to reduce the deficit to less than three per cent of GDP. Actually, the deficit never exceeded three per cent of GDP, but the EU recommendation was used to legitimize unpopular reforms.</w:t>
      </w:r>
    </w:p>
    <w:p w:rsidR="00B42A10" w:rsidRPr="00060E7A" w:rsidRDefault="00B42A10" w:rsidP="00AD3E9A">
      <w:pPr>
        <w:rPr>
          <w:rFonts w:ascii="Times New Roman" w:hAnsi="Times New Roman" w:cs="Times New Roman"/>
          <w:sz w:val="24"/>
          <w:szCs w:val="24"/>
          <w:lang w:val="en-GB"/>
        </w:rPr>
      </w:pPr>
      <w:r w:rsidRPr="00060E7A">
        <w:rPr>
          <w:rFonts w:ascii="Times New Roman" w:hAnsi="Times New Roman" w:cs="Times New Roman"/>
          <w:sz w:val="24"/>
          <w:szCs w:val="24"/>
          <w:lang w:val="en-GB"/>
        </w:rPr>
        <w:t>Among these reforms were the retirement reform one year later</w:t>
      </w:r>
      <w:r w:rsidR="007117A6" w:rsidRPr="00060E7A">
        <w:rPr>
          <w:rFonts w:ascii="Times New Roman" w:hAnsi="Times New Roman" w:cs="Times New Roman"/>
          <w:sz w:val="24"/>
          <w:szCs w:val="24"/>
          <w:lang w:val="en-GB"/>
        </w:rPr>
        <w:t xml:space="preserve"> (2011). This changed the age brackets for voluntary early retirement</w:t>
      </w:r>
      <w:r w:rsidR="00361318" w:rsidRPr="00060E7A">
        <w:rPr>
          <w:rFonts w:ascii="Times New Roman" w:hAnsi="Times New Roman" w:cs="Times New Roman"/>
          <w:sz w:val="24"/>
          <w:szCs w:val="24"/>
          <w:lang w:val="en-GB"/>
        </w:rPr>
        <w:t xml:space="preserve"> (“efterløn”), reduced duration to three years and significantly reduced the </w:t>
      </w:r>
      <w:r w:rsidR="00AD3E9A" w:rsidRPr="00060E7A">
        <w:rPr>
          <w:rFonts w:ascii="Times New Roman" w:hAnsi="Times New Roman" w:cs="Times New Roman"/>
          <w:sz w:val="24"/>
          <w:szCs w:val="24"/>
          <w:lang w:val="en-GB"/>
        </w:rPr>
        <w:t>size of the allowance</w:t>
      </w:r>
      <w:r w:rsidR="007117A6" w:rsidRPr="00060E7A">
        <w:rPr>
          <w:rFonts w:ascii="Times New Roman" w:hAnsi="Times New Roman" w:cs="Times New Roman"/>
          <w:sz w:val="24"/>
          <w:szCs w:val="24"/>
          <w:lang w:val="en-GB"/>
        </w:rPr>
        <w:t>. In return, people could claim their contributions back. This retrenchment led to an “artificial” increase in public sector deficit in 2012.</w:t>
      </w:r>
    </w:p>
    <w:p w:rsidR="00B42A10" w:rsidRPr="00060E7A" w:rsidRDefault="00B42A10" w:rsidP="00FE546E">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The </w:t>
      </w:r>
      <w:r w:rsidR="00FE546E" w:rsidRPr="00060E7A">
        <w:rPr>
          <w:rFonts w:ascii="Times New Roman" w:hAnsi="Times New Roman" w:cs="Times New Roman"/>
          <w:sz w:val="24"/>
          <w:szCs w:val="24"/>
          <w:lang w:val="en-GB"/>
        </w:rPr>
        <w:t xml:space="preserve">retirement </w:t>
      </w:r>
      <w:r w:rsidRPr="00060E7A">
        <w:rPr>
          <w:rFonts w:ascii="Times New Roman" w:hAnsi="Times New Roman" w:cs="Times New Roman"/>
          <w:sz w:val="24"/>
          <w:szCs w:val="24"/>
          <w:lang w:val="en-GB"/>
        </w:rPr>
        <w:t>reform</w:t>
      </w:r>
      <w:r w:rsidR="00FE546E" w:rsidRPr="00060E7A">
        <w:rPr>
          <w:rFonts w:ascii="Times New Roman" w:hAnsi="Times New Roman" w:cs="Times New Roman"/>
          <w:sz w:val="24"/>
          <w:szCs w:val="24"/>
          <w:lang w:val="en-GB"/>
        </w:rPr>
        <w:t xml:space="preserve"> did </w:t>
      </w:r>
      <w:r w:rsidRPr="00060E7A">
        <w:rPr>
          <w:rFonts w:ascii="Times New Roman" w:hAnsi="Times New Roman" w:cs="Times New Roman"/>
          <w:sz w:val="24"/>
          <w:szCs w:val="24"/>
          <w:lang w:val="en-GB"/>
        </w:rPr>
        <w:t xml:space="preserve">not </w:t>
      </w:r>
      <w:r w:rsidR="00FE546E" w:rsidRPr="00060E7A">
        <w:rPr>
          <w:rFonts w:ascii="Times New Roman" w:hAnsi="Times New Roman" w:cs="Times New Roman"/>
          <w:sz w:val="24"/>
          <w:szCs w:val="24"/>
          <w:lang w:val="en-GB"/>
        </w:rPr>
        <w:t xml:space="preserve">receive support from </w:t>
      </w:r>
      <w:r w:rsidRPr="00060E7A">
        <w:rPr>
          <w:rFonts w:ascii="Times New Roman" w:hAnsi="Times New Roman" w:cs="Times New Roman"/>
          <w:sz w:val="24"/>
          <w:szCs w:val="24"/>
          <w:lang w:val="en-GB"/>
        </w:rPr>
        <w:t>the majority</w:t>
      </w:r>
      <w:r w:rsidR="00AD3E9A" w:rsidRPr="00060E7A">
        <w:rPr>
          <w:rFonts w:ascii="Times New Roman" w:hAnsi="Times New Roman" w:cs="Times New Roman"/>
          <w:sz w:val="24"/>
          <w:szCs w:val="24"/>
          <w:lang w:val="en-GB"/>
        </w:rPr>
        <w:t xml:space="preserve">, but </w:t>
      </w:r>
      <w:r w:rsidR="00FE546E" w:rsidRPr="00060E7A">
        <w:rPr>
          <w:rFonts w:ascii="Times New Roman" w:hAnsi="Times New Roman" w:cs="Times New Roman"/>
          <w:sz w:val="24"/>
          <w:szCs w:val="24"/>
          <w:lang w:val="en-GB"/>
        </w:rPr>
        <w:t xml:space="preserve">it </w:t>
      </w:r>
      <w:r w:rsidR="00AD3E9A" w:rsidRPr="00060E7A">
        <w:rPr>
          <w:rFonts w:ascii="Times New Roman" w:hAnsi="Times New Roman" w:cs="Times New Roman"/>
          <w:sz w:val="24"/>
          <w:szCs w:val="24"/>
          <w:lang w:val="en-GB"/>
        </w:rPr>
        <w:t xml:space="preserve">did not only mobilize resistance; </w:t>
      </w:r>
      <w:r w:rsidR="00FE546E" w:rsidRPr="00060E7A">
        <w:rPr>
          <w:rFonts w:ascii="Times New Roman" w:hAnsi="Times New Roman" w:cs="Times New Roman"/>
          <w:sz w:val="24"/>
          <w:szCs w:val="24"/>
          <w:lang w:val="en-GB"/>
        </w:rPr>
        <w:t xml:space="preserve">it </w:t>
      </w:r>
      <w:r w:rsidR="00AD3E9A" w:rsidRPr="00060E7A">
        <w:rPr>
          <w:rFonts w:ascii="Times New Roman" w:hAnsi="Times New Roman" w:cs="Times New Roman"/>
          <w:sz w:val="24"/>
          <w:szCs w:val="24"/>
          <w:lang w:val="en-GB"/>
        </w:rPr>
        <w:t>also mobilized</w:t>
      </w:r>
      <w:r w:rsidRPr="00060E7A">
        <w:rPr>
          <w:rFonts w:ascii="Times New Roman" w:hAnsi="Times New Roman" w:cs="Times New Roman"/>
          <w:sz w:val="24"/>
          <w:szCs w:val="24"/>
          <w:lang w:val="en-GB"/>
        </w:rPr>
        <w:t xml:space="preserve"> support among an increasingly crisis conscious population</w:t>
      </w:r>
      <w:r w:rsidR="00FE546E" w:rsidRPr="00060E7A">
        <w:rPr>
          <w:rFonts w:ascii="Times New Roman" w:hAnsi="Times New Roman" w:cs="Times New Roman"/>
          <w:sz w:val="24"/>
          <w:szCs w:val="24"/>
          <w:lang w:val="en-GB"/>
        </w:rPr>
        <w:t xml:space="preserve"> (Goul Andersen, 2015x)</w:t>
      </w:r>
      <w:r w:rsidRPr="00060E7A">
        <w:rPr>
          <w:rFonts w:ascii="Times New Roman" w:hAnsi="Times New Roman" w:cs="Times New Roman"/>
          <w:sz w:val="24"/>
          <w:szCs w:val="24"/>
          <w:lang w:val="en-GB"/>
        </w:rPr>
        <w:t xml:space="preserve">. In the 2011 election, the Social Democratic coalition only won by </w:t>
      </w:r>
      <w:r w:rsidR="00FE546E" w:rsidRPr="00060E7A">
        <w:rPr>
          <w:rFonts w:ascii="Times New Roman" w:hAnsi="Times New Roman" w:cs="Times New Roman"/>
          <w:sz w:val="24"/>
          <w:szCs w:val="24"/>
          <w:lang w:val="en-GB"/>
        </w:rPr>
        <w:t xml:space="preserve">the smallest possible </w:t>
      </w:r>
      <w:r w:rsidR="007117A6" w:rsidRPr="00060E7A">
        <w:rPr>
          <w:rFonts w:ascii="Times New Roman" w:hAnsi="Times New Roman" w:cs="Times New Roman"/>
          <w:sz w:val="24"/>
          <w:szCs w:val="24"/>
          <w:lang w:val="en-GB"/>
        </w:rPr>
        <w:t>margin</w:t>
      </w:r>
      <w:r w:rsidR="00FE546E" w:rsidRPr="00060E7A">
        <w:rPr>
          <w:rFonts w:ascii="Times New Roman" w:hAnsi="Times New Roman" w:cs="Times New Roman"/>
          <w:sz w:val="24"/>
          <w:szCs w:val="24"/>
          <w:lang w:val="en-GB"/>
        </w:rPr>
        <w:t xml:space="preserve"> as the Liberals had successfully campaigned on a crisis agenda and had gained some four per cent from the centre-left coalition. Besides, the Radical Liberals nearly doubled their share of the vote after campaigning on a similar agenda. As the Radical Liberal controlled the majority, they </w:t>
      </w:r>
      <w:r w:rsidR="007117A6" w:rsidRPr="00060E7A">
        <w:rPr>
          <w:rFonts w:ascii="Times New Roman" w:hAnsi="Times New Roman" w:cs="Times New Roman"/>
          <w:sz w:val="24"/>
          <w:szCs w:val="24"/>
          <w:lang w:val="en-GB"/>
        </w:rPr>
        <w:t>forc</w:t>
      </w:r>
      <w:r w:rsidR="00FE546E" w:rsidRPr="00060E7A">
        <w:rPr>
          <w:rFonts w:ascii="Times New Roman" w:hAnsi="Times New Roman" w:cs="Times New Roman"/>
          <w:sz w:val="24"/>
          <w:szCs w:val="24"/>
          <w:lang w:val="en-GB"/>
        </w:rPr>
        <w:t>ed</w:t>
      </w:r>
      <w:r w:rsidR="007117A6" w:rsidRPr="00060E7A">
        <w:rPr>
          <w:rFonts w:ascii="Times New Roman" w:hAnsi="Times New Roman" w:cs="Times New Roman"/>
          <w:sz w:val="24"/>
          <w:szCs w:val="24"/>
          <w:lang w:val="en-GB"/>
        </w:rPr>
        <w:t xml:space="preserve"> the Social Democrats to comply with the economic policies of the previous government; it was </w:t>
      </w:r>
      <w:r w:rsidR="00FE546E" w:rsidRPr="00060E7A">
        <w:rPr>
          <w:rFonts w:ascii="Times New Roman" w:hAnsi="Times New Roman" w:cs="Times New Roman"/>
          <w:sz w:val="24"/>
          <w:szCs w:val="24"/>
          <w:lang w:val="en-GB"/>
        </w:rPr>
        <w:t xml:space="preserve">even </w:t>
      </w:r>
      <w:r w:rsidR="007117A6" w:rsidRPr="00060E7A">
        <w:rPr>
          <w:rFonts w:ascii="Times New Roman" w:hAnsi="Times New Roman" w:cs="Times New Roman"/>
          <w:sz w:val="24"/>
          <w:szCs w:val="24"/>
          <w:lang w:val="en-GB"/>
        </w:rPr>
        <w:t>written into the government manifesto that the government would largely continue the economic policies of the previous Liberal-Conservative government.</w:t>
      </w:r>
    </w:p>
    <w:p w:rsidR="007117A6" w:rsidRPr="00060E7A" w:rsidRDefault="007117A6" w:rsidP="00B75093">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It certainly did – and the Social Democratic government managed to implement </w:t>
      </w:r>
      <w:r w:rsidR="00FE546E" w:rsidRPr="00060E7A">
        <w:rPr>
          <w:rFonts w:ascii="Times New Roman" w:hAnsi="Times New Roman" w:cs="Times New Roman"/>
          <w:sz w:val="24"/>
          <w:szCs w:val="24"/>
          <w:lang w:val="en-GB"/>
        </w:rPr>
        <w:t xml:space="preserve">most </w:t>
      </w:r>
      <w:r w:rsidRPr="00060E7A">
        <w:rPr>
          <w:rFonts w:ascii="Times New Roman" w:hAnsi="Times New Roman" w:cs="Times New Roman"/>
          <w:sz w:val="24"/>
          <w:szCs w:val="24"/>
          <w:lang w:val="en-GB"/>
        </w:rPr>
        <w:t>of the plans that had been lying in departmental dis</w:t>
      </w:r>
      <w:r w:rsidR="00FE546E" w:rsidRPr="00060E7A">
        <w:rPr>
          <w:rFonts w:ascii="Times New Roman" w:hAnsi="Times New Roman" w:cs="Times New Roman"/>
          <w:sz w:val="24"/>
          <w:szCs w:val="24"/>
          <w:lang w:val="en-GB"/>
        </w:rPr>
        <w:t>k</w:t>
      </w:r>
      <w:r w:rsidRPr="00060E7A">
        <w:rPr>
          <w:rFonts w:ascii="Times New Roman" w:hAnsi="Times New Roman" w:cs="Times New Roman"/>
          <w:sz w:val="24"/>
          <w:szCs w:val="24"/>
          <w:lang w:val="en-GB"/>
        </w:rPr>
        <w:t xml:space="preserve"> shelves for a long time, waiting for a window of opportunity</w:t>
      </w:r>
      <w:r w:rsidR="00126936" w:rsidRPr="00060E7A">
        <w:rPr>
          <w:rFonts w:ascii="Times New Roman" w:hAnsi="Times New Roman" w:cs="Times New Roman"/>
          <w:sz w:val="24"/>
          <w:szCs w:val="24"/>
          <w:lang w:val="en-GB"/>
        </w:rPr>
        <w:t xml:space="preserve"> to </w:t>
      </w:r>
      <w:r w:rsidR="00FE546E" w:rsidRPr="00060E7A">
        <w:rPr>
          <w:rFonts w:ascii="Times New Roman" w:hAnsi="Times New Roman" w:cs="Times New Roman"/>
          <w:sz w:val="24"/>
          <w:szCs w:val="24"/>
          <w:lang w:val="en-GB"/>
        </w:rPr>
        <w:t xml:space="preserve">be </w:t>
      </w:r>
      <w:r w:rsidR="00126936" w:rsidRPr="00060E7A">
        <w:rPr>
          <w:rFonts w:ascii="Times New Roman" w:hAnsi="Times New Roman" w:cs="Times New Roman"/>
          <w:sz w:val="24"/>
          <w:szCs w:val="24"/>
          <w:lang w:val="en-GB"/>
        </w:rPr>
        <w:t>carr</w:t>
      </w:r>
      <w:r w:rsidR="00FE546E" w:rsidRPr="00060E7A">
        <w:rPr>
          <w:rFonts w:ascii="Times New Roman" w:hAnsi="Times New Roman" w:cs="Times New Roman"/>
          <w:sz w:val="24"/>
          <w:szCs w:val="24"/>
          <w:lang w:val="en-GB"/>
        </w:rPr>
        <w:t xml:space="preserve">ied </w:t>
      </w:r>
      <w:r w:rsidR="00126936" w:rsidRPr="00060E7A">
        <w:rPr>
          <w:rFonts w:ascii="Times New Roman" w:hAnsi="Times New Roman" w:cs="Times New Roman"/>
          <w:sz w:val="24"/>
          <w:szCs w:val="24"/>
          <w:lang w:val="en-GB"/>
        </w:rPr>
        <w:t xml:space="preserve">through politically. The crisis provided such a window, alongside a </w:t>
      </w:r>
      <w:r w:rsidR="00FE546E" w:rsidRPr="00060E7A">
        <w:rPr>
          <w:rFonts w:ascii="Times New Roman" w:hAnsi="Times New Roman" w:cs="Times New Roman"/>
          <w:sz w:val="24"/>
          <w:szCs w:val="24"/>
          <w:lang w:val="en-GB"/>
        </w:rPr>
        <w:t xml:space="preserve">weakened </w:t>
      </w:r>
      <w:r w:rsidR="00126936" w:rsidRPr="00060E7A">
        <w:rPr>
          <w:rFonts w:ascii="Times New Roman" w:hAnsi="Times New Roman" w:cs="Times New Roman"/>
          <w:sz w:val="24"/>
          <w:szCs w:val="24"/>
          <w:lang w:val="en-GB"/>
        </w:rPr>
        <w:t xml:space="preserve">Social Democratic </w:t>
      </w:r>
      <w:r w:rsidR="00FE546E" w:rsidRPr="00060E7A">
        <w:rPr>
          <w:rFonts w:ascii="Times New Roman" w:hAnsi="Times New Roman" w:cs="Times New Roman"/>
          <w:sz w:val="24"/>
          <w:szCs w:val="24"/>
          <w:lang w:val="en-GB"/>
        </w:rPr>
        <w:t xml:space="preserve">party that </w:t>
      </w:r>
      <w:r w:rsidR="00126936" w:rsidRPr="00060E7A">
        <w:rPr>
          <w:rFonts w:ascii="Times New Roman" w:hAnsi="Times New Roman" w:cs="Times New Roman"/>
          <w:sz w:val="24"/>
          <w:szCs w:val="24"/>
          <w:lang w:val="en-GB"/>
        </w:rPr>
        <w:t xml:space="preserve">was forced to give up </w:t>
      </w:r>
      <w:r w:rsidR="00FE546E" w:rsidRPr="00060E7A">
        <w:rPr>
          <w:rFonts w:ascii="Times New Roman" w:hAnsi="Times New Roman" w:cs="Times New Roman"/>
          <w:sz w:val="24"/>
          <w:szCs w:val="24"/>
          <w:lang w:val="en-GB"/>
        </w:rPr>
        <w:t xml:space="preserve">most of </w:t>
      </w:r>
      <w:r w:rsidR="00126936" w:rsidRPr="00060E7A">
        <w:rPr>
          <w:rFonts w:ascii="Times New Roman" w:hAnsi="Times New Roman" w:cs="Times New Roman"/>
          <w:sz w:val="24"/>
          <w:szCs w:val="24"/>
          <w:lang w:val="en-GB"/>
        </w:rPr>
        <w:t xml:space="preserve">its </w:t>
      </w:r>
      <w:r w:rsidR="00FE546E" w:rsidRPr="00060E7A">
        <w:rPr>
          <w:rFonts w:ascii="Times New Roman" w:hAnsi="Times New Roman" w:cs="Times New Roman"/>
          <w:sz w:val="24"/>
          <w:szCs w:val="24"/>
          <w:lang w:val="en-GB"/>
        </w:rPr>
        <w:t xml:space="preserve">election </w:t>
      </w:r>
      <w:r w:rsidR="00126936" w:rsidRPr="00060E7A">
        <w:rPr>
          <w:rFonts w:ascii="Times New Roman" w:hAnsi="Times New Roman" w:cs="Times New Roman"/>
          <w:sz w:val="24"/>
          <w:szCs w:val="24"/>
          <w:lang w:val="en-GB"/>
        </w:rPr>
        <w:t xml:space="preserve">programme and actually made a virtue out of necessity. According to the Danish prime minister, the government went “reform frenzy”, which is a quite accurate description. </w:t>
      </w:r>
      <w:r w:rsidR="00B75093" w:rsidRPr="00060E7A">
        <w:rPr>
          <w:rFonts w:ascii="Times New Roman" w:hAnsi="Times New Roman" w:cs="Times New Roman"/>
          <w:sz w:val="24"/>
          <w:szCs w:val="24"/>
          <w:lang w:val="en-GB"/>
        </w:rPr>
        <w:t xml:space="preserve">In fact, the centre-left </w:t>
      </w:r>
      <w:r w:rsidR="00126936" w:rsidRPr="00060E7A">
        <w:rPr>
          <w:rFonts w:ascii="Times New Roman" w:hAnsi="Times New Roman" w:cs="Times New Roman"/>
          <w:sz w:val="24"/>
          <w:szCs w:val="24"/>
          <w:lang w:val="en-GB"/>
        </w:rPr>
        <w:t xml:space="preserve">government </w:t>
      </w:r>
      <w:r w:rsidR="00B75093" w:rsidRPr="00060E7A">
        <w:rPr>
          <w:rFonts w:ascii="Times New Roman" w:hAnsi="Times New Roman" w:cs="Times New Roman"/>
          <w:sz w:val="24"/>
          <w:szCs w:val="24"/>
          <w:lang w:val="en-GB"/>
        </w:rPr>
        <w:t xml:space="preserve">2011-2015 </w:t>
      </w:r>
      <w:r w:rsidR="00126936" w:rsidRPr="00060E7A">
        <w:rPr>
          <w:rFonts w:ascii="Times New Roman" w:hAnsi="Times New Roman" w:cs="Times New Roman"/>
          <w:sz w:val="24"/>
          <w:szCs w:val="24"/>
          <w:lang w:val="en-GB"/>
        </w:rPr>
        <w:t>did little to counteract the crisis</w:t>
      </w:r>
      <w:r w:rsidR="00B75093" w:rsidRPr="00060E7A">
        <w:rPr>
          <w:rFonts w:ascii="Times New Roman" w:hAnsi="Times New Roman" w:cs="Times New Roman"/>
          <w:sz w:val="24"/>
          <w:szCs w:val="24"/>
          <w:lang w:val="en-GB"/>
        </w:rPr>
        <w:t xml:space="preserve"> in the short run</w:t>
      </w:r>
      <w:r w:rsidR="00126936" w:rsidRPr="00060E7A">
        <w:rPr>
          <w:rFonts w:ascii="Times New Roman" w:hAnsi="Times New Roman" w:cs="Times New Roman"/>
          <w:sz w:val="24"/>
          <w:szCs w:val="24"/>
          <w:lang w:val="en-GB"/>
        </w:rPr>
        <w:t>. Instead, it carried through a series of long-term reforms of social assistance, early retirement, disability pension, the flexible jobs programme – as well as providing tax relief for income taxes and for corporate taxes (Dølvik et al., 2015; Goul Andersen, 2015).</w:t>
      </w:r>
    </w:p>
    <w:p w:rsidR="00516002" w:rsidRPr="00060E7A" w:rsidRDefault="00516002" w:rsidP="00516002">
      <w:pPr>
        <w:pStyle w:val="Heading2"/>
        <w:rPr>
          <w:sz w:val="24"/>
          <w:szCs w:val="24"/>
          <w:lang w:val="en-GB"/>
        </w:rPr>
      </w:pPr>
      <w:bookmarkStart w:id="6" w:name="_Toc427117817"/>
      <w:r w:rsidRPr="00060E7A">
        <w:rPr>
          <w:sz w:val="24"/>
          <w:szCs w:val="24"/>
          <w:lang w:val="en-GB"/>
        </w:rPr>
        <w:t>Political discourse</w:t>
      </w:r>
      <w:bookmarkEnd w:id="6"/>
    </w:p>
    <w:p w:rsidR="00516002" w:rsidRPr="00060E7A" w:rsidRDefault="00516002" w:rsidP="00516002">
      <w:pPr>
        <w:rPr>
          <w:rFonts w:ascii="Times New Roman" w:hAnsi="Times New Roman" w:cs="Times New Roman"/>
          <w:sz w:val="24"/>
          <w:szCs w:val="24"/>
          <w:lang w:val="en-GB"/>
        </w:rPr>
      </w:pPr>
      <w:r w:rsidRPr="00060E7A">
        <w:rPr>
          <w:rFonts w:ascii="Times New Roman" w:hAnsi="Times New Roman" w:cs="Times New Roman"/>
          <w:sz w:val="24"/>
          <w:szCs w:val="24"/>
          <w:lang w:val="en-GB"/>
        </w:rPr>
        <w:t>Political disco</w:t>
      </w:r>
      <w:r w:rsidR="00CB10D9">
        <w:rPr>
          <w:rFonts w:ascii="Times New Roman" w:hAnsi="Times New Roman" w:cs="Times New Roman"/>
          <w:sz w:val="24"/>
          <w:szCs w:val="24"/>
          <w:lang w:val="en-GB"/>
        </w:rPr>
        <w:t>urse changed during the crisis t</w:t>
      </w:r>
      <w:r w:rsidRPr="00060E7A">
        <w:rPr>
          <w:rFonts w:ascii="Times New Roman" w:hAnsi="Times New Roman" w:cs="Times New Roman"/>
          <w:sz w:val="24"/>
          <w:szCs w:val="24"/>
          <w:lang w:val="en-GB"/>
        </w:rPr>
        <w:t>owards suspicion of the unemployed – as an indirect effect of continuing discussion about incentives to work. But it did not have much impact</w:t>
      </w:r>
      <w:r w:rsidR="00CB10D9">
        <w:rPr>
          <w:rFonts w:ascii="Times New Roman" w:hAnsi="Times New Roman" w:cs="Times New Roman"/>
          <w:sz w:val="24"/>
          <w:szCs w:val="24"/>
          <w:lang w:val="en-GB"/>
        </w:rPr>
        <w:t xml:space="preserve"> on voters. Media outbreaks of </w:t>
      </w:r>
      <w:r w:rsidRPr="00060E7A">
        <w:rPr>
          <w:rFonts w:ascii="Times New Roman" w:hAnsi="Times New Roman" w:cs="Times New Roman"/>
          <w:sz w:val="24"/>
          <w:szCs w:val="24"/>
          <w:lang w:val="en-GB"/>
        </w:rPr>
        <w:t>suspicion of the unemployed were followed by some short-term reactions, but a few months later, they were gone.</w:t>
      </w:r>
    </w:p>
    <w:p w:rsidR="00126936" w:rsidRPr="00060E7A" w:rsidRDefault="00126936" w:rsidP="00D95423">
      <w:pPr>
        <w:rPr>
          <w:rFonts w:ascii="Times New Roman" w:hAnsi="Times New Roman" w:cs="Times New Roman"/>
          <w:sz w:val="24"/>
          <w:szCs w:val="24"/>
          <w:lang w:val="en-GB"/>
        </w:rPr>
      </w:pPr>
    </w:p>
    <w:p w:rsidR="00516002" w:rsidRPr="00060E7A" w:rsidRDefault="00516002" w:rsidP="00D95423">
      <w:pPr>
        <w:rPr>
          <w:rFonts w:ascii="Times New Roman" w:hAnsi="Times New Roman" w:cs="Times New Roman"/>
          <w:sz w:val="24"/>
          <w:szCs w:val="24"/>
          <w:lang w:val="en-GB"/>
        </w:rPr>
      </w:pPr>
    </w:p>
    <w:p w:rsidR="00126936" w:rsidRPr="00060E7A" w:rsidRDefault="00126936" w:rsidP="00632219">
      <w:pPr>
        <w:pStyle w:val="Heading1"/>
        <w:rPr>
          <w:lang w:val="en-GB"/>
        </w:rPr>
      </w:pPr>
      <w:bookmarkStart w:id="7" w:name="_Toc427117810"/>
      <w:r w:rsidRPr="00060E7A">
        <w:rPr>
          <w:lang w:val="en-GB"/>
        </w:rPr>
        <w:t>5. The welfare state strikes back</w:t>
      </w:r>
      <w:bookmarkEnd w:id="7"/>
    </w:p>
    <w:p w:rsidR="00632219" w:rsidRPr="00060E7A" w:rsidRDefault="00632219" w:rsidP="00A84F90">
      <w:pPr>
        <w:spacing w:after="120" w:line="264" w:lineRule="auto"/>
        <w:rPr>
          <w:rFonts w:ascii="Times New Roman" w:hAnsi="Times New Roman" w:cs="Times New Roman"/>
          <w:sz w:val="24"/>
          <w:szCs w:val="24"/>
          <w:lang w:val="en-GB"/>
        </w:rPr>
      </w:pPr>
    </w:p>
    <w:p w:rsidR="00263498" w:rsidRPr="00060E7A" w:rsidRDefault="00450C8A" w:rsidP="00A84F90">
      <w:pPr>
        <w:spacing w:after="120" w:line="264"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The reforms of 2010-2013 contained </w:t>
      </w:r>
      <w:r w:rsidR="00A84F90" w:rsidRPr="00060E7A">
        <w:rPr>
          <w:rFonts w:ascii="Times New Roman" w:hAnsi="Times New Roman" w:cs="Times New Roman"/>
          <w:sz w:val="24"/>
          <w:szCs w:val="24"/>
          <w:lang w:val="en-GB"/>
        </w:rPr>
        <w:t xml:space="preserve">a certain </w:t>
      </w:r>
      <w:r w:rsidR="00B44410" w:rsidRPr="00060E7A">
        <w:rPr>
          <w:rFonts w:ascii="Times New Roman" w:hAnsi="Times New Roman" w:cs="Times New Roman"/>
          <w:sz w:val="24"/>
          <w:szCs w:val="24"/>
          <w:lang w:val="en-GB"/>
        </w:rPr>
        <w:t>potential for becoming self-reinforcing</w:t>
      </w:r>
      <w:r w:rsidR="00A84F90" w:rsidRPr="00060E7A">
        <w:rPr>
          <w:rFonts w:ascii="Times New Roman" w:hAnsi="Times New Roman" w:cs="Times New Roman"/>
          <w:sz w:val="24"/>
          <w:szCs w:val="24"/>
          <w:lang w:val="en-GB"/>
        </w:rPr>
        <w:t xml:space="preserve"> as the Social Democratic government had paved the way, institutionally as well as discursively, for more to come</w:t>
      </w:r>
      <w:r w:rsidR="00B44410" w:rsidRPr="00060E7A">
        <w:rPr>
          <w:rFonts w:ascii="Times New Roman" w:hAnsi="Times New Roman" w:cs="Times New Roman"/>
          <w:sz w:val="24"/>
          <w:szCs w:val="24"/>
          <w:lang w:val="en-GB"/>
        </w:rPr>
        <w:t>. In New Zealand the</w:t>
      </w:r>
      <w:r w:rsidR="00161F6C" w:rsidRPr="00060E7A">
        <w:rPr>
          <w:rFonts w:ascii="Times New Roman" w:hAnsi="Times New Roman" w:cs="Times New Roman"/>
          <w:sz w:val="24"/>
          <w:szCs w:val="24"/>
          <w:lang w:val="en-GB"/>
        </w:rPr>
        <w:t xml:space="preserve"> Labour Party </w:t>
      </w:r>
      <w:r w:rsidR="00A84F90" w:rsidRPr="00060E7A">
        <w:rPr>
          <w:rFonts w:ascii="Times New Roman" w:hAnsi="Times New Roman" w:cs="Times New Roman"/>
          <w:sz w:val="24"/>
          <w:szCs w:val="24"/>
          <w:lang w:val="en-GB"/>
        </w:rPr>
        <w:t xml:space="preserve">had </w:t>
      </w:r>
      <w:r w:rsidR="00B44410" w:rsidRPr="00060E7A">
        <w:rPr>
          <w:rFonts w:ascii="Times New Roman" w:hAnsi="Times New Roman" w:cs="Times New Roman"/>
          <w:sz w:val="24"/>
          <w:szCs w:val="24"/>
          <w:lang w:val="en-GB"/>
        </w:rPr>
        <w:t>embarked on a neoliberal reform path in the 1980s</w:t>
      </w:r>
      <w:r w:rsidR="00A84F90" w:rsidRPr="00060E7A">
        <w:rPr>
          <w:rFonts w:ascii="Times New Roman" w:hAnsi="Times New Roman" w:cs="Times New Roman"/>
          <w:sz w:val="24"/>
          <w:szCs w:val="24"/>
          <w:lang w:val="en-GB"/>
        </w:rPr>
        <w:t xml:space="preserve">; </w:t>
      </w:r>
      <w:r w:rsidR="00B44410" w:rsidRPr="00060E7A">
        <w:rPr>
          <w:rFonts w:ascii="Times New Roman" w:hAnsi="Times New Roman" w:cs="Times New Roman"/>
          <w:sz w:val="24"/>
          <w:szCs w:val="24"/>
          <w:lang w:val="en-GB"/>
        </w:rPr>
        <w:t>d</w:t>
      </w:r>
      <w:r w:rsidR="00161F6C" w:rsidRPr="00060E7A">
        <w:rPr>
          <w:rFonts w:ascii="Times New Roman" w:hAnsi="Times New Roman" w:cs="Times New Roman"/>
          <w:sz w:val="24"/>
          <w:szCs w:val="24"/>
          <w:lang w:val="en-GB"/>
        </w:rPr>
        <w:t xml:space="preserve">isappointed Labour voters </w:t>
      </w:r>
      <w:r w:rsidR="00774FF9" w:rsidRPr="00060E7A">
        <w:rPr>
          <w:rFonts w:ascii="Times New Roman" w:hAnsi="Times New Roman" w:cs="Times New Roman"/>
          <w:sz w:val="24"/>
          <w:szCs w:val="24"/>
          <w:lang w:val="en-GB"/>
        </w:rPr>
        <w:t xml:space="preserve">defected to </w:t>
      </w:r>
      <w:r w:rsidR="00161F6C" w:rsidRPr="00060E7A">
        <w:rPr>
          <w:rFonts w:ascii="Times New Roman" w:hAnsi="Times New Roman" w:cs="Times New Roman"/>
          <w:sz w:val="24"/>
          <w:szCs w:val="24"/>
          <w:lang w:val="en-GB"/>
        </w:rPr>
        <w:t xml:space="preserve">the National Party </w:t>
      </w:r>
      <w:r w:rsidR="00A84F90" w:rsidRPr="00060E7A">
        <w:rPr>
          <w:rFonts w:ascii="Times New Roman" w:hAnsi="Times New Roman" w:cs="Times New Roman"/>
          <w:sz w:val="24"/>
          <w:szCs w:val="24"/>
          <w:lang w:val="en-GB"/>
        </w:rPr>
        <w:t xml:space="preserve">in the 1990 election; and </w:t>
      </w:r>
      <w:r w:rsidR="00774FF9" w:rsidRPr="00060E7A">
        <w:rPr>
          <w:rFonts w:ascii="Times New Roman" w:hAnsi="Times New Roman" w:cs="Times New Roman"/>
          <w:sz w:val="24"/>
          <w:szCs w:val="24"/>
          <w:lang w:val="en-GB"/>
        </w:rPr>
        <w:t xml:space="preserve">– rather surprisingly – </w:t>
      </w:r>
      <w:r w:rsidR="00A84F90" w:rsidRPr="00060E7A">
        <w:rPr>
          <w:rFonts w:ascii="Times New Roman" w:hAnsi="Times New Roman" w:cs="Times New Roman"/>
          <w:sz w:val="24"/>
          <w:szCs w:val="24"/>
          <w:lang w:val="en-GB"/>
        </w:rPr>
        <w:t xml:space="preserve">the National Party </w:t>
      </w:r>
      <w:r w:rsidR="00161F6C" w:rsidRPr="00060E7A">
        <w:rPr>
          <w:rFonts w:ascii="Times New Roman" w:hAnsi="Times New Roman" w:cs="Times New Roman"/>
          <w:sz w:val="24"/>
          <w:szCs w:val="24"/>
          <w:lang w:val="en-GB"/>
        </w:rPr>
        <w:t xml:space="preserve">carried through </w:t>
      </w:r>
      <w:r w:rsidR="00774FF9" w:rsidRPr="00060E7A">
        <w:rPr>
          <w:rFonts w:ascii="Times New Roman" w:hAnsi="Times New Roman" w:cs="Times New Roman"/>
          <w:sz w:val="24"/>
          <w:szCs w:val="24"/>
          <w:lang w:val="en-GB"/>
        </w:rPr>
        <w:t>a considerable transformation of the NZ welfare state during its first two years in office.</w:t>
      </w:r>
    </w:p>
    <w:p w:rsidR="00A84F90" w:rsidRPr="00060E7A" w:rsidRDefault="00A84F90" w:rsidP="00CC7F24">
      <w:pPr>
        <w:spacing w:after="120" w:line="264"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Nowadays, social services are usually found to enjoy more support, not least among middle class voters, than cash transfers. One could stipulate from attitudes surveys, and from the experience during the crisis of the 1980s, that voters would accept retrenchment of services in a period of high crisis consciousness, but </w:t>
      </w:r>
      <w:r w:rsidR="00CC7F24" w:rsidRPr="00060E7A">
        <w:rPr>
          <w:rFonts w:ascii="Times New Roman" w:hAnsi="Times New Roman" w:cs="Times New Roman"/>
          <w:sz w:val="24"/>
          <w:szCs w:val="24"/>
          <w:lang w:val="en-GB"/>
        </w:rPr>
        <w:t>only until the economy turns</w:t>
      </w:r>
      <w:r w:rsidRPr="00060E7A">
        <w:rPr>
          <w:rFonts w:ascii="Times New Roman" w:hAnsi="Times New Roman" w:cs="Times New Roman"/>
          <w:sz w:val="24"/>
          <w:szCs w:val="24"/>
          <w:lang w:val="en-GB"/>
        </w:rPr>
        <w:t xml:space="preserve">. </w:t>
      </w:r>
      <w:r w:rsidR="00CC7F24" w:rsidRPr="00060E7A">
        <w:rPr>
          <w:rFonts w:ascii="Times New Roman" w:hAnsi="Times New Roman" w:cs="Times New Roman"/>
          <w:sz w:val="24"/>
          <w:szCs w:val="24"/>
          <w:lang w:val="en-GB"/>
        </w:rPr>
        <w:t>Cutting c</w:t>
      </w:r>
      <w:r w:rsidRPr="00060E7A">
        <w:rPr>
          <w:rFonts w:ascii="Times New Roman" w:hAnsi="Times New Roman" w:cs="Times New Roman"/>
          <w:sz w:val="24"/>
          <w:szCs w:val="24"/>
          <w:lang w:val="en-GB"/>
        </w:rPr>
        <w:t>ash transfers</w:t>
      </w:r>
      <w:r w:rsidR="00CC7F24" w:rsidRPr="00060E7A">
        <w:rPr>
          <w:rFonts w:ascii="Times New Roman" w:hAnsi="Times New Roman" w:cs="Times New Roman"/>
          <w:sz w:val="24"/>
          <w:szCs w:val="24"/>
          <w:lang w:val="en-GB"/>
        </w:rPr>
        <w:t xml:space="preserve"> would be easier to defend as they affect a smaller segment of voters and could be justified in terms of incentives even  during an economic upswing.</w:t>
      </w:r>
      <w:r w:rsidRPr="00060E7A">
        <w:rPr>
          <w:rFonts w:ascii="Times New Roman" w:hAnsi="Times New Roman" w:cs="Times New Roman"/>
          <w:sz w:val="24"/>
          <w:szCs w:val="24"/>
          <w:lang w:val="en-GB"/>
        </w:rPr>
        <w:t xml:space="preserve"> </w:t>
      </w:r>
    </w:p>
    <w:p w:rsidR="00263498" w:rsidRPr="00060E7A" w:rsidRDefault="00CC7F24" w:rsidP="00131CB9">
      <w:pPr>
        <w:spacing w:after="120" w:line="264"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However, the cuts in the duration of unemployment benefits contributed to serious legitimacy problems for the Social Democrats, and during its last year in office, the government abstained from further neoliberal reforms and announced a change in unemployment insurance after the next election. This strengthened the Social Democrats </w:t>
      </w:r>
      <w:r w:rsidR="00FC05EC" w:rsidRPr="00060E7A">
        <w:rPr>
          <w:rFonts w:ascii="Times New Roman" w:hAnsi="Times New Roman" w:cs="Times New Roman"/>
          <w:sz w:val="24"/>
          <w:szCs w:val="24"/>
          <w:lang w:val="en-GB"/>
        </w:rPr>
        <w:t xml:space="preserve">in the polls, and the party actually obtained a small improvement of voter support in the 2015 election. But political distrust remained high, and voters defected in large numbers from the governing parties. The 2015 election became a light version of the 1973 landslide election, with the second highest electoral (net) volatility ever recorded. Voters did not turn to the Liberal and Conservative parties but rather to the Danish People’s Party which had been in opposition to most reforms after the 2011 election, including the reform of unemployment insurance which the party had supported in 2010. The Danish People’s Party is a welfare chauvinist party, but as far as welfare for the Danes is concerned, the party has increasingly supported “traditional” Social Democratic policies (while at the same time trying to prevent immigrants </w:t>
      </w:r>
      <w:r w:rsidR="00131CB9" w:rsidRPr="00060E7A">
        <w:rPr>
          <w:rFonts w:ascii="Times New Roman" w:hAnsi="Times New Roman" w:cs="Times New Roman"/>
          <w:sz w:val="24"/>
          <w:szCs w:val="24"/>
          <w:lang w:val="en-GB"/>
        </w:rPr>
        <w:t>from gaining access to welfare benefits).</w:t>
      </w:r>
      <w:r w:rsidR="00FC05EC" w:rsidRPr="00060E7A">
        <w:rPr>
          <w:rFonts w:ascii="Times New Roman" w:hAnsi="Times New Roman" w:cs="Times New Roman"/>
          <w:sz w:val="24"/>
          <w:szCs w:val="24"/>
          <w:lang w:val="en-GB"/>
        </w:rPr>
        <w:t xml:space="preserve"> </w:t>
      </w:r>
    </w:p>
    <w:p w:rsidR="00CC7F24" w:rsidRPr="00060E7A" w:rsidRDefault="00CC7F24" w:rsidP="00CC7F24">
      <w:pPr>
        <w:spacing w:after="120" w:line="264" w:lineRule="auto"/>
        <w:rPr>
          <w:rFonts w:ascii="Times New Roman" w:hAnsi="Times New Roman" w:cs="Times New Roman"/>
          <w:sz w:val="24"/>
          <w:szCs w:val="24"/>
          <w:lang w:val="en-GB"/>
        </w:rPr>
      </w:pPr>
    </w:p>
    <w:p w:rsidR="00632219" w:rsidRPr="00060E7A" w:rsidRDefault="00632219" w:rsidP="00632219">
      <w:pPr>
        <w:pStyle w:val="Heading3"/>
        <w:rPr>
          <w:lang w:val="en-GB"/>
        </w:rPr>
      </w:pPr>
      <w:bookmarkStart w:id="8" w:name="_Toc427117811"/>
      <w:r w:rsidRPr="00060E7A">
        <w:rPr>
          <w:lang w:val="en-GB"/>
        </w:rPr>
        <w:t>5.1. Distrust and Protest</w:t>
      </w:r>
      <w:bookmarkEnd w:id="8"/>
    </w:p>
    <w:p w:rsidR="00623B4B" w:rsidRPr="00060E7A" w:rsidRDefault="00A17790" w:rsidP="00A17790">
      <w:pPr>
        <w:spacing w:after="120" w:line="264"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From the mid-1990s to the years of prosperity before the 2008 crisis, Danish voters exhibited increasing political trust, but this trend was soon reversed, and around 2010/2011 trust declined rapidly.</w:t>
      </w:r>
      <w:r w:rsidRPr="00060E7A">
        <w:rPr>
          <w:rStyle w:val="FootnoteReference"/>
          <w:rFonts w:ascii="Times New Roman" w:hAnsi="Times New Roman" w:cs="Times New Roman"/>
          <w:sz w:val="24"/>
          <w:szCs w:val="24"/>
          <w:lang w:val="en-GB"/>
        </w:rPr>
        <w:footnoteReference w:id="7"/>
      </w:r>
      <w:r w:rsidR="00623B4B" w:rsidRPr="00060E7A">
        <w:rPr>
          <w:rFonts w:ascii="Times New Roman" w:hAnsi="Times New Roman" w:cs="Times New Roman"/>
          <w:sz w:val="24"/>
          <w:szCs w:val="24"/>
          <w:lang w:val="en-GB"/>
        </w:rPr>
        <w:t xml:space="preserve"> </w:t>
      </w:r>
      <w:r w:rsidR="00DC7859" w:rsidRPr="00060E7A">
        <w:rPr>
          <w:rFonts w:ascii="Times New Roman" w:hAnsi="Times New Roman" w:cs="Times New Roman"/>
          <w:sz w:val="24"/>
          <w:szCs w:val="24"/>
          <w:lang w:val="en-GB"/>
        </w:rPr>
        <w:t>After a short-time increase around the 2011 election, political trust declined to a record low in 2013. By 2015, political trust had not significantly improved.</w:t>
      </w:r>
    </w:p>
    <w:p w:rsidR="00DC7859" w:rsidRPr="00060E7A" w:rsidRDefault="00DC7859" w:rsidP="00DC7859">
      <w:pPr>
        <w:spacing w:after="120" w:line="264"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Another indicator is the support for what we might call “non-government parties”, i.e. for parties that have never joined a government and do not assign priority to this goal. Taken together, these parties increased their support from 12.5 per cent in 1998 and 18.9 per cent in 2007 to 41.2 per cent in 2015 (Table 2).</w:t>
      </w:r>
    </w:p>
    <w:p w:rsidR="00DC7859" w:rsidRPr="00060E7A" w:rsidRDefault="00DC7859" w:rsidP="00565387">
      <w:pPr>
        <w:spacing w:after="120" w:line="264" w:lineRule="auto"/>
        <w:rPr>
          <w:rFonts w:ascii="Times New Roman" w:hAnsi="Times New Roman" w:cs="Times New Roman"/>
          <w:b/>
          <w:sz w:val="20"/>
          <w:szCs w:val="20"/>
          <w:lang w:val="en-GB"/>
        </w:rPr>
      </w:pPr>
      <w:r w:rsidRPr="00060E7A">
        <w:rPr>
          <w:rFonts w:ascii="Times New Roman" w:hAnsi="Times New Roman" w:cs="Times New Roman"/>
          <w:b/>
          <w:bCs/>
          <w:sz w:val="24"/>
          <w:szCs w:val="24"/>
          <w:lang w:val="en-GB"/>
        </w:rPr>
        <w:t xml:space="preserve">Table </w:t>
      </w:r>
      <w:r w:rsidR="00565387" w:rsidRPr="00060E7A">
        <w:rPr>
          <w:rFonts w:ascii="Times New Roman" w:hAnsi="Times New Roman" w:cs="Times New Roman"/>
          <w:b/>
          <w:bCs/>
          <w:sz w:val="24"/>
          <w:szCs w:val="24"/>
          <w:lang w:val="en-GB"/>
        </w:rPr>
        <w:t>3</w:t>
      </w:r>
      <w:r w:rsidRPr="00060E7A">
        <w:rPr>
          <w:rFonts w:ascii="Times New Roman" w:hAnsi="Times New Roman" w:cs="Times New Roman"/>
          <w:b/>
          <w:bCs/>
          <w:sz w:val="24"/>
          <w:szCs w:val="24"/>
          <w:lang w:val="en-GB"/>
        </w:rPr>
        <w:t>. Support for “non-government parties”, elections 1998-2015. Per cent.</w:t>
      </w:r>
    </w:p>
    <w:tbl>
      <w:tblPr>
        <w:tblStyle w:val="TableGrid"/>
        <w:tblW w:w="8330" w:type="dxa"/>
        <w:tblLayout w:type="fixed"/>
        <w:tblLook w:val="04A0" w:firstRow="1" w:lastRow="0" w:firstColumn="1" w:lastColumn="0" w:noHBand="0" w:noVBand="1"/>
      </w:tblPr>
      <w:tblGrid>
        <w:gridCol w:w="3227"/>
        <w:gridCol w:w="850"/>
        <w:gridCol w:w="851"/>
        <w:gridCol w:w="850"/>
        <w:gridCol w:w="851"/>
        <w:gridCol w:w="850"/>
        <w:gridCol w:w="851"/>
      </w:tblGrid>
      <w:tr w:rsidR="00DC7859" w:rsidRPr="00060E7A" w:rsidTr="00DC7859">
        <w:tc>
          <w:tcPr>
            <w:tcW w:w="3227" w:type="dxa"/>
          </w:tcPr>
          <w:p w:rsidR="00DC7859" w:rsidRPr="00060E7A" w:rsidRDefault="00DC7859" w:rsidP="00DC7859">
            <w:pPr>
              <w:rPr>
                <w:lang w:val="en-GB"/>
              </w:rPr>
            </w:pPr>
          </w:p>
        </w:tc>
        <w:tc>
          <w:tcPr>
            <w:tcW w:w="850" w:type="dxa"/>
          </w:tcPr>
          <w:p w:rsidR="00DC7859" w:rsidRPr="00060E7A" w:rsidRDefault="00DC7859" w:rsidP="00DC7859">
            <w:pPr>
              <w:jc w:val="center"/>
              <w:rPr>
                <w:b/>
                <w:lang w:val="en-GB"/>
              </w:rPr>
            </w:pPr>
            <w:r w:rsidRPr="00060E7A">
              <w:rPr>
                <w:b/>
                <w:lang w:val="en-GB"/>
              </w:rPr>
              <w:t>1998</w:t>
            </w:r>
          </w:p>
        </w:tc>
        <w:tc>
          <w:tcPr>
            <w:tcW w:w="851" w:type="dxa"/>
          </w:tcPr>
          <w:p w:rsidR="00DC7859" w:rsidRPr="00060E7A" w:rsidRDefault="00DC7859" w:rsidP="00DC7859">
            <w:pPr>
              <w:jc w:val="center"/>
              <w:rPr>
                <w:b/>
                <w:lang w:val="en-GB"/>
              </w:rPr>
            </w:pPr>
            <w:r w:rsidRPr="00060E7A">
              <w:rPr>
                <w:b/>
                <w:lang w:val="en-GB"/>
              </w:rPr>
              <w:t>2001</w:t>
            </w:r>
          </w:p>
        </w:tc>
        <w:tc>
          <w:tcPr>
            <w:tcW w:w="850" w:type="dxa"/>
          </w:tcPr>
          <w:p w:rsidR="00DC7859" w:rsidRPr="00060E7A" w:rsidRDefault="00DC7859" w:rsidP="00DC7859">
            <w:pPr>
              <w:jc w:val="center"/>
              <w:rPr>
                <w:b/>
                <w:lang w:val="en-GB"/>
              </w:rPr>
            </w:pPr>
            <w:r w:rsidRPr="00060E7A">
              <w:rPr>
                <w:b/>
                <w:lang w:val="en-GB"/>
              </w:rPr>
              <w:t>2005</w:t>
            </w:r>
          </w:p>
        </w:tc>
        <w:tc>
          <w:tcPr>
            <w:tcW w:w="851" w:type="dxa"/>
          </w:tcPr>
          <w:p w:rsidR="00DC7859" w:rsidRPr="00060E7A" w:rsidRDefault="00DC7859" w:rsidP="00DC7859">
            <w:pPr>
              <w:jc w:val="center"/>
              <w:rPr>
                <w:b/>
                <w:lang w:val="en-GB"/>
              </w:rPr>
            </w:pPr>
            <w:r w:rsidRPr="00060E7A">
              <w:rPr>
                <w:b/>
                <w:lang w:val="en-GB"/>
              </w:rPr>
              <w:t>2007</w:t>
            </w:r>
          </w:p>
        </w:tc>
        <w:tc>
          <w:tcPr>
            <w:tcW w:w="850" w:type="dxa"/>
          </w:tcPr>
          <w:p w:rsidR="00DC7859" w:rsidRPr="00060E7A" w:rsidRDefault="00DC7859" w:rsidP="00DC7859">
            <w:pPr>
              <w:jc w:val="center"/>
              <w:rPr>
                <w:b/>
                <w:lang w:val="en-GB"/>
              </w:rPr>
            </w:pPr>
            <w:r w:rsidRPr="00060E7A">
              <w:rPr>
                <w:b/>
                <w:lang w:val="en-GB"/>
              </w:rPr>
              <w:t>2011</w:t>
            </w:r>
          </w:p>
        </w:tc>
        <w:tc>
          <w:tcPr>
            <w:tcW w:w="851" w:type="dxa"/>
          </w:tcPr>
          <w:p w:rsidR="00DC7859" w:rsidRPr="00060E7A" w:rsidRDefault="00DC7859" w:rsidP="00DC7859">
            <w:pPr>
              <w:jc w:val="center"/>
              <w:rPr>
                <w:b/>
                <w:bCs/>
                <w:lang w:val="en-GB"/>
              </w:rPr>
            </w:pPr>
            <w:r w:rsidRPr="00060E7A">
              <w:rPr>
                <w:b/>
                <w:bCs/>
                <w:lang w:val="en-GB"/>
              </w:rPr>
              <w:t>2015</w:t>
            </w:r>
          </w:p>
        </w:tc>
      </w:tr>
      <w:tr w:rsidR="00DC7859" w:rsidRPr="00060E7A" w:rsidTr="00DC7859">
        <w:tc>
          <w:tcPr>
            <w:tcW w:w="3227" w:type="dxa"/>
          </w:tcPr>
          <w:p w:rsidR="00DC7859" w:rsidRPr="00060E7A" w:rsidRDefault="00DC7859" w:rsidP="00DC7859">
            <w:pPr>
              <w:rPr>
                <w:lang w:val="en-GB"/>
              </w:rPr>
            </w:pPr>
            <w:r w:rsidRPr="00060E7A">
              <w:rPr>
                <w:lang w:val="en-GB"/>
              </w:rPr>
              <w:t>Unity List (radical left)</w:t>
            </w:r>
          </w:p>
        </w:tc>
        <w:tc>
          <w:tcPr>
            <w:tcW w:w="850" w:type="dxa"/>
          </w:tcPr>
          <w:p w:rsidR="00DC7859" w:rsidRPr="00060E7A" w:rsidRDefault="00DC7859" w:rsidP="00DC7859">
            <w:pPr>
              <w:jc w:val="center"/>
              <w:rPr>
                <w:b/>
                <w:lang w:val="en-GB"/>
              </w:rPr>
            </w:pPr>
            <w:r w:rsidRPr="00060E7A">
              <w:rPr>
                <w:b/>
                <w:lang w:val="en-GB"/>
              </w:rPr>
              <w:t>2.7</w:t>
            </w:r>
          </w:p>
        </w:tc>
        <w:tc>
          <w:tcPr>
            <w:tcW w:w="851" w:type="dxa"/>
          </w:tcPr>
          <w:p w:rsidR="00DC7859" w:rsidRPr="00060E7A" w:rsidRDefault="00DC7859" w:rsidP="00DC7859">
            <w:pPr>
              <w:jc w:val="center"/>
              <w:rPr>
                <w:b/>
                <w:lang w:val="en-GB"/>
              </w:rPr>
            </w:pPr>
            <w:r w:rsidRPr="00060E7A">
              <w:rPr>
                <w:b/>
                <w:lang w:val="en-GB"/>
              </w:rPr>
              <w:t>2.4</w:t>
            </w:r>
          </w:p>
        </w:tc>
        <w:tc>
          <w:tcPr>
            <w:tcW w:w="850" w:type="dxa"/>
          </w:tcPr>
          <w:p w:rsidR="00DC7859" w:rsidRPr="00060E7A" w:rsidRDefault="00DC7859" w:rsidP="00DC7859">
            <w:pPr>
              <w:jc w:val="center"/>
              <w:rPr>
                <w:b/>
                <w:lang w:val="en-GB"/>
              </w:rPr>
            </w:pPr>
            <w:r w:rsidRPr="00060E7A">
              <w:rPr>
                <w:b/>
                <w:lang w:val="en-GB"/>
              </w:rPr>
              <w:t>3.4</w:t>
            </w:r>
          </w:p>
        </w:tc>
        <w:tc>
          <w:tcPr>
            <w:tcW w:w="851" w:type="dxa"/>
          </w:tcPr>
          <w:p w:rsidR="00DC7859" w:rsidRPr="00060E7A" w:rsidRDefault="00DC7859" w:rsidP="00DC7859">
            <w:pPr>
              <w:jc w:val="center"/>
              <w:rPr>
                <w:b/>
                <w:lang w:val="en-GB"/>
              </w:rPr>
            </w:pPr>
            <w:r w:rsidRPr="00060E7A">
              <w:rPr>
                <w:b/>
                <w:lang w:val="en-GB"/>
              </w:rPr>
              <w:t>2.2</w:t>
            </w:r>
          </w:p>
        </w:tc>
        <w:tc>
          <w:tcPr>
            <w:tcW w:w="850" w:type="dxa"/>
          </w:tcPr>
          <w:p w:rsidR="00DC7859" w:rsidRPr="00060E7A" w:rsidRDefault="00DC7859" w:rsidP="00DC7859">
            <w:pPr>
              <w:jc w:val="center"/>
              <w:rPr>
                <w:b/>
                <w:lang w:val="en-GB"/>
              </w:rPr>
            </w:pPr>
            <w:r w:rsidRPr="00060E7A">
              <w:rPr>
                <w:b/>
                <w:lang w:val="en-GB"/>
              </w:rPr>
              <w:t>6.7</w:t>
            </w:r>
          </w:p>
        </w:tc>
        <w:tc>
          <w:tcPr>
            <w:tcW w:w="851" w:type="dxa"/>
          </w:tcPr>
          <w:p w:rsidR="00DC7859" w:rsidRPr="00060E7A" w:rsidRDefault="00DC7859" w:rsidP="00DC7859">
            <w:pPr>
              <w:jc w:val="center"/>
              <w:rPr>
                <w:b/>
                <w:bCs/>
                <w:lang w:val="en-GB"/>
              </w:rPr>
            </w:pPr>
            <w:r w:rsidRPr="00060E7A">
              <w:rPr>
                <w:b/>
                <w:bCs/>
                <w:lang w:val="en-GB"/>
              </w:rPr>
              <w:t>7.8</w:t>
            </w:r>
          </w:p>
        </w:tc>
      </w:tr>
      <w:tr w:rsidR="00DC7859" w:rsidRPr="00060E7A" w:rsidTr="00DC7859">
        <w:tc>
          <w:tcPr>
            <w:tcW w:w="3227" w:type="dxa"/>
          </w:tcPr>
          <w:p w:rsidR="00DC7859" w:rsidRPr="00060E7A" w:rsidRDefault="00DC7859" w:rsidP="00DC7859">
            <w:pPr>
              <w:rPr>
                <w:lang w:val="en-GB"/>
              </w:rPr>
            </w:pPr>
            <w:r w:rsidRPr="00060E7A">
              <w:rPr>
                <w:lang w:val="en-GB"/>
              </w:rPr>
              <w:t xml:space="preserve">Danish People’s Party </w:t>
            </w:r>
            <w:r w:rsidR="00CC21C1" w:rsidRPr="00060E7A">
              <w:rPr>
                <w:lang w:val="en-GB"/>
              </w:rPr>
              <w:t>(pop.right)</w:t>
            </w:r>
          </w:p>
        </w:tc>
        <w:tc>
          <w:tcPr>
            <w:tcW w:w="850" w:type="dxa"/>
          </w:tcPr>
          <w:p w:rsidR="00DC7859" w:rsidRPr="00060E7A" w:rsidRDefault="00DC7859" w:rsidP="00DC7859">
            <w:pPr>
              <w:jc w:val="center"/>
              <w:rPr>
                <w:b/>
                <w:lang w:val="en-GB"/>
              </w:rPr>
            </w:pPr>
            <w:r w:rsidRPr="00060E7A">
              <w:rPr>
                <w:b/>
                <w:lang w:val="en-GB"/>
              </w:rPr>
              <w:t>7.4</w:t>
            </w:r>
          </w:p>
        </w:tc>
        <w:tc>
          <w:tcPr>
            <w:tcW w:w="851" w:type="dxa"/>
          </w:tcPr>
          <w:p w:rsidR="00DC7859" w:rsidRPr="00060E7A" w:rsidRDefault="00DC7859" w:rsidP="00DC7859">
            <w:pPr>
              <w:jc w:val="center"/>
              <w:rPr>
                <w:b/>
                <w:lang w:val="en-GB"/>
              </w:rPr>
            </w:pPr>
            <w:r w:rsidRPr="00060E7A">
              <w:rPr>
                <w:b/>
                <w:lang w:val="en-GB"/>
              </w:rPr>
              <w:t>12.0</w:t>
            </w:r>
          </w:p>
        </w:tc>
        <w:tc>
          <w:tcPr>
            <w:tcW w:w="850" w:type="dxa"/>
          </w:tcPr>
          <w:p w:rsidR="00DC7859" w:rsidRPr="00060E7A" w:rsidRDefault="00DC7859" w:rsidP="00DC7859">
            <w:pPr>
              <w:jc w:val="center"/>
              <w:rPr>
                <w:b/>
                <w:lang w:val="en-GB"/>
              </w:rPr>
            </w:pPr>
            <w:r w:rsidRPr="00060E7A">
              <w:rPr>
                <w:b/>
                <w:lang w:val="en-GB"/>
              </w:rPr>
              <w:t>13.3</w:t>
            </w:r>
          </w:p>
        </w:tc>
        <w:tc>
          <w:tcPr>
            <w:tcW w:w="851" w:type="dxa"/>
          </w:tcPr>
          <w:p w:rsidR="00DC7859" w:rsidRPr="00060E7A" w:rsidRDefault="00DC7859" w:rsidP="00DC7859">
            <w:pPr>
              <w:jc w:val="center"/>
              <w:rPr>
                <w:b/>
                <w:lang w:val="en-GB"/>
              </w:rPr>
            </w:pPr>
            <w:r w:rsidRPr="00060E7A">
              <w:rPr>
                <w:b/>
                <w:lang w:val="en-GB"/>
              </w:rPr>
              <w:t>13.9</w:t>
            </w:r>
          </w:p>
        </w:tc>
        <w:tc>
          <w:tcPr>
            <w:tcW w:w="850" w:type="dxa"/>
          </w:tcPr>
          <w:p w:rsidR="00DC7859" w:rsidRPr="00060E7A" w:rsidRDefault="00DC7859" w:rsidP="00DC7859">
            <w:pPr>
              <w:jc w:val="center"/>
              <w:rPr>
                <w:b/>
                <w:lang w:val="en-GB"/>
              </w:rPr>
            </w:pPr>
            <w:r w:rsidRPr="00060E7A">
              <w:rPr>
                <w:b/>
                <w:lang w:val="en-GB"/>
              </w:rPr>
              <w:t>12.3</w:t>
            </w:r>
          </w:p>
        </w:tc>
        <w:tc>
          <w:tcPr>
            <w:tcW w:w="851" w:type="dxa"/>
          </w:tcPr>
          <w:p w:rsidR="00DC7859" w:rsidRPr="00060E7A" w:rsidRDefault="00DC7859" w:rsidP="00DC7859">
            <w:pPr>
              <w:jc w:val="center"/>
              <w:rPr>
                <w:b/>
                <w:bCs/>
                <w:lang w:val="en-GB"/>
              </w:rPr>
            </w:pPr>
            <w:r w:rsidRPr="00060E7A">
              <w:rPr>
                <w:b/>
                <w:bCs/>
                <w:lang w:val="en-GB"/>
              </w:rPr>
              <w:t>21.1</w:t>
            </w:r>
          </w:p>
        </w:tc>
      </w:tr>
      <w:tr w:rsidR="00DC7859" w:rsidRPr="00060E7A" w:rsidTr="00DC7859">
        <w:tc>
          <w:tcPr>
            <w:tcW w:w="3227" w:type="dxa"/>
          </w:tcPr>
          <w:p w:rsidR="00DC7859" w:rsidRPr="00060E7A" w:rsidRDefault="00DC7859" w:rsidP="00DC7859">
            <w:pPr>
              <w:rPr>
                <w:lang w:val="en-GB"/>
              </w:rPr>
            </w:pPr>
            <w:r w:rsidRPr="00060E7A">
              <w:rPr>
                <w:lang w:val="en-GB"/>
              </w:rPr>
              <w:t xml:space="preserve">Progress Party </w:t>
            </w:r>
            <w:r w:rsidR="00CC21C1" w:rsidRPr="00060E7A">
              <w:rPr>
                <w:lang w:val="en-GB"/>
              </w:rPr>
              <w:t>(pop.right)</w:t>
            </w:r>
          </w:p>
        </w:tc>
        <w:tc>
          <w:tcPr>
            <w:tcW w:w="850" w:type="dxa"/>
          </w:tcPr>
          <w:p w:rsidR="00DC7859" w:rsidRPr="00060E7A" w:rsidRDefault="00DC7859" w:rsidP="00DC7859">
            <w:pPr>
              <w:jc w:val="center"/>
              <w:rPr>
                <w:b/>
                <w:lang w:val="en-GB"/>
              </w:rPr>
            </w:pPr>
            <w:r w:rsidRPr="00060E7A">
              <w:rPr>
                <w:b/>
                <w:lang w:val="en-GB"/>
              </w:rPr>
              <w:t>2.4</w:t>
            </w:r>
          </w:p>
        </w:tc>
        <w:tc>
          <w:tcPr>
            <w:tcW w:w="851" w:type="dxa"/>
          </w:tcPr>
          <w:p w:rsidR="00DC7859" w:rsidRPr="00060E7A" w:rsidRDefault="00DC7859" w:rsidP="00DC7859">
            <w:pPr>
              <w:jc w:val="center"/>
              <w:rPr>
                <w:b/>
                <w:lang w:val="en-GB"/>
              </w:rPr>
            </w:pPr>
            <w:r w:rsidRPr="00060E7A">
              <w:rPr>
                <w:b/>
                <w:lang w:val="en-GB"/>
              </w:rPr>
              <w:t>0.6</w:t>
            </w:r>
          </w:p>
        </w:tc>
        <w:tc>
          <w:tcPr>
            <w:tcW w:w="850" w:type="dxa"/>
          </w:tcPr>
          <w:p w:rsidR="00DC7859" w:rsidRPr="00060E7A" w:rsidRDefault="00DC7859" w:rsidP="00DC7859">
            <w:pPr>
              <w:jc w:val="center"/>
              <w:rPr>
                <w:b/>
                <w:lang w:val="en-GB"/>
              </w:rPr>
            </w:pPr>
            <w:r w:rsidRPr="00060E7A">
              <w:rPr>
                <w:b/>
                <w:lang w:val="en-GB"/>
              </w:rPr>
              <w:t>.</w:t>
            </w:r>
          </w:p>
        </w:tc>
        <w:tc>
          <w:tcPr>
            <w:tcW w:w="851" w:type="dxa"/>
          </w:tcPr>
          <w:p w:rsidR="00DC7859" w:rsidRPr="00060E7A" w:rsidRDefault="00DC7859" w:rsidP="00DC7859">
            <w:pPr>
              <w:jc w:val="center"/>
              <w:rPr>
                <w:b/>
                <w:lang w:val="en-GB"/>
              </w:rPr>
            </w:pPr>
            <w:r w:rsidRPr="00060E7A">
              <w:rPr>
                <w:b/>
                <w:lang w:val="en-GB"/>
              </w:rPr>
              <w:t>.</w:t>
            </w:r>
          </w:p>
        </w:tc>
        <w:tc>
          <w:tcPr>
            <w:tcW w:w="850" w:type="dxa"/>
          </w:tcPr>
          <w:p w:rsidR="00DC7859" w:rsidRPr="00060E7A" w:rsidRDefault="00DC7859" w:rsidP="00DC7859">
            <w:pPr>
              <w:jc w:val="center"/>
              <w:rPr>
                <w:b/>
                <w:lang w:val="en-GB"/>
              </w:rPr>
            </w:pPr>
            <w:r w:rsidRPr="00060E7A">
              <w:rPr>
                <w:b/>
                <w:lang w:val="en-GB"/>
              </w:rPr>
              <w:t>.</w:t>
            </w:r>
          </w:p>
        </w:tc>
        <w:tc>
          <w:tcPr>
            <w:tcW w:w="851" w:type="dxa"/>
          </w:tcPr>
          <w:p w:rsidR="00DC7859" w:rsidRPr="00060E7A" w:rsidRDefault="00DC7859" w:rsidP="00DC7859">
            <w:pPr>
              <w:jc w:val="center"/>
              <w:rPr>
                <w:b/>
                <w:bCs/>
                <w:lang w:val="en-GB"/>
              </w:rPr>
            </w:pPr>
            <w:r w:rsidRPr="00060E7A">
              <w:rPr>
                <w:b/>
                <w:bCs/>
                <w:lang w:val="en-GB"/>
              </w:rPr>
              <w:t>.</w:t>
            </w:r>
          </w:p>
        </w:tc>
      </w:tr>
      <w:tr w:rsidR="00DC7859" w:rsidRPr="00060E7A" w:rsidTr="00DC7859">
        <w:tc>
          <w:tcPr>
            <w:tcW w:w="3227" w:type="dxa"/>
          </w:tcPr>
          <w:p w:rsidR="00DC7859" w:rsidRPr="00060E7A" w:rsidRDefault="00DC7859" w:rsidP="00DC7859">
            <w:pPr>
              <w:rPr>
                <w:lang w:val="en-GB"/>
              </w:rPr>
            </w:pPr>
            <w:r w:rsidRPr="00060E7A">
              <w:rPr>
                <w:lang w:val="en-GB"/>
              </w:rPr>
              <w:t>Liberal Alliance</w:t>
            </w:r>
            <w:r w:rsidR="00CC21C1" w:rsidRPr="00060E7A">
              <w:rPr>
                <w:lang w:val="en-GB"/>
              </w:rPr>
              <w:t xml:space="preserve"> (neolib.)</w:t>
            </w:r>
          </w:p>
        </w:tc>
        <w:tc>
          <w:tcPr>
            <w:tcW w:w="850" w:type="dxa"/>
          </w:tcPr>
          <w:p w:rsidR="00DC7859" w:rsidRPr="00060E7A" w:rsidRDefault="00DC7859" w:rsidP="00DC7859">
            <w:pPr>
              <w:jc w:val="center"/>
              <w:rPr>
                <w:b/>
                <w:lang w:val="en-GB"/>
              </w:rPr>
            </w:pPr>
            <w:r w:rsidRPr="00060E7A">
              <w:rPr>
                <w:b/>
                <w:lang w:val="en-GB"/>
              </w:rPr>
              <w:t>.</w:t>
            </w:r>
          </w:p>
        </w:tc>
        <w:tc>
          <w:tcPr>
            <w:tcW w:w="851" w:type="dxa"/>
          </w:tcPr>
          <w:p w:rsidR="00DC7859" w:rsidRPr="00060E7A" w:rsidRDefault="00DC7859" w:rsidP="00DC7859">
            <w:pPr>
              <w:jc w:val="center"/>
              <w:rPr>
                <w:b/>
                <w:lang w:val="en-GB"/>
              </w:rPr>
            </w:pPr>
            <w:r w:rsidRPr="00060E7A">
              <w:rPr>
                <w:b/>
                <w:lang w:val="en-GB"/>
              </w:rPr>
              <w:t>.</w:t>
            </w:r>
          </w:p>
        </w:tc>
        <w:tc>
          <w:tcPr>
            <w:tcW w:w="850" w:type="dxa"/>
          </w:tcPr>
          <w:p w:rsidR="00DC7859" w:rsidRPr="00060E7A" w:rsidRDefault="00DC7859" w:rsidP="00DC7859">
            <w:pPr>
              <w:jc w:val="center"/>
              <w:rPr>
                <w:b/>
                <w:lang w:val="en-GB"/>
              </w:rPr>
            </w:pPr>
            <w:r w:rsidRPr="00060E7A">
              <w:rPr>
                <w:b/>
                <w:lang w:val="en-GB"/>
              </w:rPr>
              <w:t>.</w:t>
            </w:r>
          </w:p>
        </w:tc>
        <w:tc>
          <w:tcPr>
            <w:tcW w:w="851" w:type="dxa"/>
          </w:tcPr>
          <w:p w:rsidR="00DC7859" w:rsidRPr="00060E7A" w:rsidRDefault="00DC7859" w:rsidP="00DC7859">
            <w:pPr>
              <w:jc w:val="center"/>
              <w:rPr>
                <w:b/>
                <w:lang w:val="en-GB"/>
              </w:rPr>
            </w:pPr>
            <w:r w:rsidRPr="00060E7A">
              <w:rPr>
                <w:b/>
                <w:lang w:val="en-GB"/>
              </w:rPr>
              <w:t>2.8</w:t>
            </w:r>
          </w:p>
        </w:tc>
        <w:tc>
          <w:tcPr>
            <w:tcW w:w="850" w:type="dxa"/>
          </w:tcPr>
          <w:p w:rsidR="00DC7859" w:rsidRPr="00060E7A" w:rsidRDefault="00DC7859" w:rsidP="00DC7859">
            <w:pPr>
              <w:jc w:val="center"/>
              <w:rPr>
                <w:b/>
                <w:lang w:val="en-GB"/>
              </w:rPr>
            </w:pPr>
            <w:r w:rsidRPr="00060E7A">
              <w:rPr>
                <w:b/>
                <w:lang w:val="en-GB"/>
              </w:rPr>
              <w:t>5.0</w:t>
            </w:r>
          </w:p>
        </w:tc>
        <w:tc>
          <w:tcPr>
            <w:tcW w:w="851" w:type="dxa"/>
          </w:tcPr>
          <w:p w:rsidR="00DC7859" w:rsidRPr="00060E7A" w:rsidRDefault="00DC7859" w:rsidP="00DC7859">
            <w:pPr>
              <w:jc w:val="center"/>
              <w:rPr>
                <w:b/>
                <w:bCs/>
                <w:lang w:val="en-GB"/>
              </w:rPr>
            </w:pPr>
            <w:r w:rsidRPr="00060E7A">
              <w:rPr>
                <w:b/>
                <w:bCs/>
                <w:lang w:val="en-GB"/>
              </w:rPr>
              <w:t>7.5</w:t>
            </w:r>
          </w:p>
        </w:tc>
      </w:tr>
      <w:tr w:rsidR="00DC7859" w:rsidRPr="00060E7A" w:rsidTr="00DC7859">
        <w:tc>
          <w:tcPr>
            <w:tcW w:w="3227" w:type="dxa"/>
          </w:tcPr>
          <w:p w:rsidR="00DC7859" w:rsidRPr="00060E7A" w:rsidRDefault="00CC21C1" w:rsidP="00CC21C1">
            <w:pPr>
              <w:rPr>
                <w:lang w:val="en-GB"/>
              </w:rPr>
            </w:pPr>
            <w:r w:rsidRPr="00060E7A">
              <w:rPr>
                <w:lang w:val="en-GB"/>
              </w:rPr>
              <w:t>The Alternative (green)</w:t>
            </w:r>
            <w:r w:rsidR="00DC7859" w:rsidRPr="00060E7A">
              <w:rPr>
                <w:lang w:val="en-GB"/>
              </w:rPr>
              <w:t xml:space="preserve"> </w:t>
            </w:r>
          </w:p>
        </w:tc>
        <w:tc>
          <w:tcPr>
            <w:tcW w:w="850" w:type="dxa"/>
          </w:tcPr>
          <w:p w:rsidR="00DC7859" w:rsidRPr="00060E7A" w:rsidRDefault="00DC7859" w:rsidP="00DC7859">
            <w:pPr>
              <w:jc w:val="center"/>
              <w:rPr>
                <w:b/>
                <w:lang w:val="en-GB"/>
              </w:rPr>
            </w:pPr>
            <w:r w:rsidRPr="00060E7A">
              <w:rPr>
                <w:b/>
                <w:lang w:val="en-GB"/>
              </w:rPr>
              <w:t>.</w:t>
            </w:r>
          </w:p>
        </w:tc>
        <w:tc>
          <w:tcPr>
            <w:tcW w:w="851" w:type="dxa"/>
          </w:tcPr>
          <w:p w:rsidR="00DC7859" w:rsidRPr="00060E7A" w:rsidRDefault="00DC7859" w:rsidP="00DC7859">
            <w:pPr>
              <w:jc w:val="center"/>
              <w:rPr>
                <w:b/>
                <w:lang w:val="en-GB"/>
              </w:rPr>
            </w:pPr>
            <w:r w:rsidRPr="00060E7A">
              <w:rPr>
                <w:b/>
                <w:lang w:val="en-GB"/>
              </w:rPr>
              <w:t>.</w:t>
            </w:r>
          </w:p>
        </w:tc>
        <w:tc>
          <w:tcPr>
            <w:tcW w:w="850" w:type="dxa"/>
          </w:tcPr>
          <w:p w:rsidR="00DC7859" w:rsidRPr="00060E7A" w:rsidRDefault="00DC7859" w:rsidP="00DC7859">
            <w:pPr>
              <w:jc w:val="center"/>
              <w:rPr>
                <w:b/>
                <w:lang w:val="en-GB"/>
              </w:rPr>
            </w:pPr>
            <w:r w:rsidRPr="00060E7A">
              <w:rPr>
                <w:b/>
                <w:lang w:val="en-GB"/>
              </w:rPr>
              <w:t>.</w:t>
            </w:r>
          </w:p>
        </w:tc>
        <w:tc>
          <w:tcPr>
            <w:tcW w:w="851" w:type="dxa"/>
          </w:tcPr>
          <w:p w:rsidR="00DC7859" w:rsidRPr="00060E7A" w:rsidRDefault="00DC7859" w:rsidP="00DC7859">
            <w:pPr>
              <w:jc w:val="center"/>
              <w:rPr>
                <w:b/>
                <w:lang w:val="en-GB"/>
              </w:rPr>
            </w:pPr>
            <w:r w:rsidRPr="00060E7A">
              <w:rPr>
                <w:b/>
                <w:lang w:val="en-GB"/>
              </w:rPr>
              <w:t>.</w:t>
            </w:r>
          </w:p>
        </w:tc>
        <w:tc>
          <w:tcPr>
            <w:tcW w:w="850" w:type="dxa"/>
          </w:tcPr>
          <w:p w:rsidR="00DC7859" w:rsidRPr="00060E7A" w:rsidRDefault="00DC7859" w:rsidP="00DC7859">
            <w:pPr>
              <w:jc w:val="center"/>
              <w:rPr>
                <w:b/>
                <w:lang w:val="en-GB"/>
              </w:rPr>
            </w:pPr>
            <w:r w:rsidRPr="00060E7A">
              <w:rPr>
                <w:b/>
                <w:lang w:val="en-GB"/>
              </w:rPr>
              <w:t>.</w:t>
            </w:r>
          </w:p>
        </w:tc>
        <w:tc>
          <w:tcPr>
            <w:tcW w:w="851" w:type="dxa"/>
          </w:tcPr>
          <w:p w:rsidR="00DC7859" w:rsidRPr="00060E7A" w:rsidRDefault="00DC7859" w:rsidP="00DC7859">
            <w:pPr>
              <w:jc w:val="center"/>
              <w:rPr>
                <w:b/>
                <w:bCs/>
                <w:lang w:val="en-GB"/>
              </w:rPr>
            </w:pPr>
            <w:r w:rsidRPr="00060E7A">
              <w:rPr>
                <w:b/>
                <w:bCs/>
                <w:lang w:val="en-GB"/>
              </w:rPr>
              <w:t>4.8</w:t>
            </w:r>
          </w:p>
        </w:tc>
      </w:tr>
      <w:tr w:rsidR="00DC7859" w:rsidRPr="00060E7A" w:rsidTr="00DC7859">
        <w:tc>
          <w:tcPr>
            <w:tcW w:w="3227" w:type="dxa"/>
            <w:shd w:val="clear" w:color="auto" w:fill="99FFCC"/>
          </w:tcPr>
          <w:p w:rsidR="00DC7859" w:rsidRPr="00060E7A" w:rsidRDefault="00CC21C1" w:rsidP="00CC21C1">
            <w:pPr>
              <w:rPr>
                <w:lang w:val="en-GB"/>
              </w:rPr>
            </w:pPr>
            <w:r w:rsidRPr="00060E7A">
              <w:rPr>
                <w:lang w:val="en-GB"/>
              </w:rPr>
              <w:t>Non-government p., total</w:t>
            </w:r>
          </w:p>
        </w:tc>
        <w:tc>
          <w:tcPr>
            <w:tcW w:w="850" w:type="dxa"/>
            <w:shd w:val="clear" w:color="auto" w:fill="99FFCC"/>
          </w:tcPr>
          <w:p w:rsidR="00DC7859" w:rsidRPr="00060E7A" w:rsidRDefault="00DC7859" w:rsidP="00DC7859">
            <w:pPr>
              <w:jc w:val="center"/>
              <w:rPr>
                <w:b/>
                <w:lang w:val="en-GB"/>
              </w:rPr>
            </w:pPr>
            <w:r w:rsidRPr="00060E7A">
              <w:rPr>
                <w:b/>
                <w:lang w:val="en-GB"/>
              </w:rPr>
              <w:t>12.5</w:t>
            </w:r>
          </w:p>
        </w:tc>
        <w:tc>
          <w:tcPr>
            <w:tcW w:w="851" w:type="dxa"/>
            <w:shd w:val="clear" w:color="auto" w:fill="99FFCC"/>
          </w:tcPr>
          <w:p w:rsidR="00DC7859" w:rsidRPr="00060E7A" w:rsidRDefault="00DC7859" w:rsidP="00DC7859">
            <w:pPr>
              <w:jc w:val="center"/>
              <w:rPr>
                <w:b/>
                <w:lang w:val="en-GB"/>
              </w:rPr>
            </w:pPr>
            <w:r w:rsidRPr="00060E7A">
              <w:rPr>
                <w:b/>
                <w:lang w:val="en-GB"/>
              </w:rPr>
              <w:t>15.0</w:t>
            </w:r>
          </w:p>
        </w:tc>
        <w:tc>
          <w:tcPr>
            <w:tcW w:w="850" w:type="dxa"/>
            <w:shd w:val="clear" w:color="auto" w:fill="99FFCC"/>
          </w:tcPr>
          <w:p w:rsidR="00DC7859" w:rsidRPr="00060E7A" w:rsidRDefault="00DC7859" w:rsidP="00DC7859">
            <w:pPr>
              <w:jc w:val="center"/>
              <w:rPr>
                <w:b/>
                <w:lang w:val="en-GB"/>
              </w:rPr>
            </w:pPr>
            <w:r w:rsidRPr="00060E7A">
              <w:rPr>
                <w:b/>
                <w:lang w:val="en-GB"/>
              </w:rPr>
              <w:t>16.7</w:t>
            </w:r>
          </w:p>
        </w:tc>
        <w:tc>
          <w:tcPr>
            <w:tcW w:w="851" w:type="dxa"/>
            <w:shd w:val="clear" w:color="auto" w:fill="99FFCC"/>
          </w:tcPr>
          <w:p w:rsidR="00DC7859" w:rsidRPr="00060E7A" w:rsidRDefault="00DC7859" w:rsidP="00DC7859">
            <w:pPr>
              <w:jc w:val="center"/>
              <w:rPr>
                <w:b/>
                <w:lang w:val="en-GB"/>
              </w:rPr>
            </w:pPr>
            <w:r w:rsidRPr="00060E7A">
              <w:rPr>
                <w:b/>
                <w:lang w:val="en-GB"/>
              </w:rPr>
              <w:t>18.9</w:t>
            </w:r>
          </w:p>
        </w:tc>
        <w:tc>
          <w:tcPr>
            <w:tcW w:w="850" w:type="dxa"/>
            <w:shd w:val="clear" w:color="auto" w:fill="99FFCC"/>
          </w:tcPr>
          <w:p w:rsidR="00DC7859" w:rsidRPr="00060E7A" w:rsidRDefault="00DC7859" w:rsidP="00DC7859">
            <w:pPr>
              <w:jc w:val="center"/>
              <w:rPr>
                <w:b/>
                <w:lang w:val="en-GB"/>
              </w:rPr>
            </w:pPr>
            <w:r w:rsidRPr="00060E7A">
              <w:rPr>
                <w:b/>
                <w:lang w:val="en-GB"/>
              </w:rPr>
              <w:t>24.0</w:t>
            </w:r>
          </w:p>
        </w:tc>
        <w:tc>
          <w:tcPr>
            <w:tcW w:w="851" w:type="dxa"/>
            <w:shd w:val="clear" w:color="auto" w:fill="99FFCC"/>
          </w:tcPr>
          <w:p w:rsidR="00DC7859" w:rsidRPr="00060E7A" w:rsidRDefault="00DC7859" w:rsidP="00DC7859">
            <w:pPr>
              <w:jc w:val="center"/>
              <w:rPr>
                <w:b/>
                <w:bCs/>
                <w:lang w:val="en-GB"/>
              </w:rPr>
            </w:pPr>
            <w:r w:rsidRPr="00060E7A">
              <w:rPr>
                <w:b/>
                <w:bCs/>
                <w:lang w:val="en-GB"/>
              </w:rPr>
              <w:t>41.2</w:t>
            </w:r>
          </w:p>
        </w:tc>
      </w:tr>
    </w:tbl>
    <w:p w:rsidR="00CC21C1" w:rsidRPr="00060E7A" w:rsidRDefault="00CC21C1" w:rsidP="00CC21C1">
      <w:pPr>
        <w:spacing w:line="240" w:lineRule="auto"/>
        <w:rPr>
          <w:rFonts w:ascii="Times New Roman" w:hAnsi="Times New Roman" w:cs="Times New Roman"/>
          <w:sz w:val="24"/>
          <w:szCs w:val="24"/>
          <w:lang w:val="en-GB"/>
        </w:rPr>
      </w:pPr>
      <w:r w:rsidRPr="00060E7A">
        <w:rPr>
          <w:rFonts w:ascii="Times New Roman" w:hAnsi="Times New Roman" w:cs="Times New Roman"/>
          <w:sz w:val="20"/>
          <w:szCs w:val="20"/>
          <w:lang w:val="en-GB"/>
        </w:rPr>
        <w:t>Source: Statistics Denmark. Per cent of valid votes.</w:t>
      </w:r>
    </w:p>
    <w:p w:rsidR="00DC7859" w:rsidRPr="00060E7A" w:rsidRDefault="00DC7859" w:rsidP="00CC21C1">
      <w:pPr>
        <w:spacing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 xml:space="preserve"> </w:t>
      </w:r>
    </w:p>
    <w:p w:rsidR="00DC7859" w:rsidRPr="00060E7A" w:rsidRDefault="00CC21C1" w:rsidP="00CC21C1">
      <w:pPr>
        <w:pStyle w:val="Heading3"/>
        <w:rPr>
          <w:lang w:val="en-GB"/>
        </w:rPr>
      </w:pPr>
      <w:bookmarkStart w:id="9" w:name="_Toc427117812"/>
      <w:r w:rsidRPr="00060E7A">
        <w:rPr>
          <w:lang w:val="en-GB"/>
        </w:rPr>
        <w:t>5.2. Support for improved social protection for the unemployed</w:t>
      </w:r>
      <w:bookmarkEnd w:id="9"/>
      <w:r w:rsidR="00DC7859" w:rsidRPr="00060E7A">
        <w:rPr>
          <w:lang w:val="en-GB"/>
        </w:rPr>
        <w:t xml:space="preserve"> </w:t>
      </w:r>
    </w:p>
    <w:p w:rsidR="00CC21C1" w:rsidRPr="00060E7A" w:rsidRDefault="00CC21C1" w:rsidP="002C48B9">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Since 2013, a huge number of opinion polls have shown widespread support for modifying the 2010 labour market reform one way or another, to ensure against dropout from the unemployment benefit system. Usually considered an issue with limited voter appeal, this issue turned out to be one of the issues where not only Social Democrats, but even a substantial proportion, and often a majority, among the non-socialist voters supported longer duration, less strict requirements for requalification for benefits, or other measures to prevent ordinary unemployed workers from falling through the safety net and having to rely on means-tested social assistance (which often means zero support if the spouse of the unemployed happen to be employed. A case in point </w:t>
      </w:r>
      <w:r w:rsidR="009E540C" w:rsidRPr="00060E7A">
        <w:rPr>
          <w:rFonts w:ascii="Times New Roman" w:hAnsi="Times New Roman" w:cs="Times New Roman"/>
          <w:sz w:val="24"/>
          <w:szCs w:val="24"/>
          <w:lang w:val="en-GB"/>
        </w:rPr>
        <w:t xml:space="preserve">is a survey carried out </w:t>
      </w:r>
      <w:r w:rsidR="0059251F" w:rsidRPr="00060E7A">
        <w:rPr>
          <w:rFonts w:ascii="Times New Roman" w:hAnsi="Times New Roman" w:cs="Times New Roman"/>
          <w:sz w:val="24"/>
          <w:szCs w:val="24"/>
          <w:lang w:val="en-GB"/>
        </w:rPr>
        <w:t xml:space="preserve">by the Unemployment Fund’s Association/Statistics Denmark (AK-Samvirke, June 15, 2015) which showed that </w:t>
      </w:r>
      <w:r w:rsidR="002C48B9" w:rsidRPr="00060E7A">
        <w:rPr>
          <w:rFonts w:ascii="Times New Roman" w:hAnsi="Times New Roman" w:cs="Times New Roman"/>
          <w:sz w:val="24"/>
          <w:szCs w:val="24"/>
          <w:lang w:val="en-GB"/>
        </w:rPr>
        <w:t>64 per cent supported less tight rules in order to reduce the number of people losing their unemployment insurance. A similar proportion supported less tight rules for requalification for benefits. Another survey by Avisen.dk/Analyse Danmark revealed that 69 per cent agreed that it should be easier to qualify and re-qualify for unemployment benefits (Avisen.dk, May 30, 2015). This survey also revealed a majority of supporters among all parties except the Liberal Alliance. With negligible variations, the message has been the same in more than a handful of surveys in 2013 and 2014.</w:t>
      </w:r>
    </w:p>
    <w:p w:rsidR="00161F6C" w:rsidRPr="00060E7A" w:rsidRDefault="00161F6C" w:rsidP="00161F6C">
      <w:pPr>
        <w:spacing w:after="120" w:line="264" w:lineRule="auto"/>
        <w:rPr>
          <w:rFonts w:ascii="Times New Roman" w:hAnsi="Times New Roman" w:cs="Times New Roman"/>
          <w:sz w:val="24"/>
          <w:szCs w:val="24"/>
          <w:lang w:val="en-GB"/>
        </w:rPr>
      </w:pPr>
    </w:p>
    <w:p w:rsidR="00B75093" w:rsidRPr="00060E7A" w:rsidRDefault="002C48B9" w:rsidP="002C48B9">
      <w:pPr>
        <w:pStyle w:val="Heading3"/>
        <w:rPr>
          <w:lang w:val="en-GB"/>
        </w:rPr>
      </w:pPr>
      <w:bookmarkStart w:id="10" w:name="_Toc427117813"/>
      <w:r w:rsidRPr="00060E7A">
        <w:rPr>
          <w:lang w:val="en-GB"/>
        </w:rPr>
        <w:t>5.3. Declining support for parties endorsing neoliberal reforms</w:t>
      </w:r>
      <w:bookmarkEnd w:id="10"/>
    </w:p>
    <w:p w:rsidR="002C48B9" w:rsidRPr="00060E7A" w:rsidRDefault="002C48B9" w:rsidP="00D22F99">
      <w:pPr>
        <w:rPr>
          <w:rFonts w:ascii="Times New Roman" w:hAnsi="Times New Roman" w:cs="Times New Roman"/>
          <w:sz w:val="24"/>
          <w:szCs w:val="24"/>
          <w:lang w:val="en-GB"/>
        </w:rPr>
      </w:pPr>
      <w:r w:rsidRPr="00060E7A">
        <w:rPr>
          <w:rFonts w:ascii="Times New Roman" w:hAnsi="Times New Roman" w:cs="Times New Roman"/>
          <w:sz w:val="24"/>
          <w:szCs w:val="24"/>
          <w:lang w:val="en-GB"/>
        </w:rPr>
        <w:t>Yet another indication of voter resistance is the dramatically declining support for the parties endorsing further reforms: the Liberal Party, the Radical Liberals, the Liberal Alliance, and the Conservatives.</w:t>
      </w:r>
      <w:r w:rsidR="003C6D16" w:rsidRPr="00060E7A">
        <w:rPr>
          <w:rFonts w:ascii="Times New Roman" w:hAnsi="Times New Roman" w:cs="Times New Roman"/>
          <w:sz w:val="24"/>
          <w:szCs w:val="24"/>
          <w:lang w:val="en-GB"/>
        </w:rPr>
        <w:t xml:space="preserve"> Support for these parties peaked in April 2012 with 52.1 per cent. In the 2015 election, the joint support for these parties was as low as 3</w:t>
      </w:r>
      <w:r w:rsidR="00D22F99" w:rsidRPr="00060E7A">
        <w:rPr>
          <w:rFonts w:ascii="Times New Roman" w:hAnsi="Times New Roman" w:cs="Times New Roman"/>
          <w:sz w:val="24"/>
          <w:szCs w:val="24"/>
          <w:lang w:val="en-GB"/>
        </w:rPr>
        <w:t>4</w:t>
      </w:r>
      <w:r w:rsidR="003C6D16" w:rsidRPr="00060E7A">
        <w:rPr>
          <w:rFonts w:ascii="Times New Roman" w:hAnsi="Times New Roman" w:cs="Times New Roman"/>
          <w:sz w:val="24"/>
          <w:szCs w:val="24"/>
          <w:lang w:val="en-GB"/>
        </w:rPr>
        <w:t>.</w:t>
      </w:r>
      <w:r w:rsidR="00D22F99" w:rsidRPr="00060E7A">
        <w:rPr>
          <w:rFonts w:ascii="Times New Roman" w:hAnsi="Times New Roman" w:cs="Times New Roman"/>
          <w:sz w:val="24"/>
          <w:szCs w:val="24"/>
          <w:lang w:val="en-GB"/>
        </w:rPr>
        <w:t>9</w:t>
      </w:r>
      <w:r w:rsidR="003C6D16" w:rsidRPr="00060E7A">
        <w:rPr>
          <w:rFonts w:ascii="Times New Roman" w:hAnsi="Times New Roman" w:cs="Times New Roman"/>
          <w:sz w:val="24"/>
          <w:szCs w:val="24"/>
          <w:lang w:val="en-GB"/>
        </w:rPr>
        <w:t xml:space="preserve"> per cent.</w:t>
      </w:r>
    </w:p>
    <w:p w:rsidR="00D22F99" w:rsidRPr="00060E7A" w:rsidRDefault="00D22F99" w:rsidP="00D22F99">
      <w:pPr>
        <w:rPr>
          <w:rFonts w:ascii="Times New Roman" w:hAnsi="Times New Roman" w:cs="Times New Roman"/>
          <w:sz w:val="24"/>
          <w:szCs w:val="24"/>
          <w:lang w:val="en-GB"/>
        </w:rPr>
      </w:pPr>
    </w:p>
    <w:p w:rsidR="00D22F99" w:rsidRPr="00060E7A" w:rsidRDefault="00D22F99" w:rsidP="00D22F99">
      <w:pPr>
        <w:rPr>
          <w:rFonts w:ascii="Times New Roman" w:hAnsi="Times New Roman" w:cs="Times New Roman"/>
          <w:sz w:val="24"/>
          <w:szCs w:val="24"/>
          <w:lang w:val="en-GB"/>
        </w:rPr>
      </w:pPr>
    </w:p>
    <w:p w:rsidR="00D22F99" w:rsidRPr="00060E7A" w:rsidRDefault="00D22F99" w:rsidP="00D22F99">
      <w:pPr>
        <w:rPr>
          <w:rFonts w:ascii="Times New Roman" w:hAnsi="Times New Roman" w:cs="Times New Roman"/>
          <w:sz w:val="24"/>
          <w:szCs w:val="24"/>
          <w:lang w:val="en-GB"/>
        </w:rPr>
      </w:pPr>
    </w:p>
    <w:p w:rsidR="00D22F99" w:rsidRPr="00060E7A" w:rsidRDefault="00D22F99" w:rsidP="00D22F99">
      <w:pPr>
        <w:rPr>
          <w:rFonts w:ascii="Times New Roman" w:hAnsi="Times New Roman" w:cs="Times New Roman"/>
          <w:sz w:val="24"/>
          <w:szCs w:val="24"/>
          <w:lang w:val="en-GB"/>
        </w:rPr>
      </w:pPr>
    </w:p>
    <w:p w:rsidR="00516002" w:rsidRPr="00060E7A" w:rsidRDefault="00516002" w:rsidP="00565387">
      <w:pPr>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 xml:space="preserve">Figure </w:t>
      </w:r>
      <w:r w:rsidR="00565387" w:rsidRPr="00060E7A">
        <w:rPr>
          <w:rFonts w:ascii="Times New Roman" w:hAnsi="Times New Roman" w:cs="Times New Roman"/>
          <w:b/>
          <w:bCs/>
          <w:sz w:val="24"/>
          <w:szCs w:val="24"/>
          <w:lang w:val="en-GB"/>
        </w:rPr>
        <w:t>5</w:t>
      </w:r>
      <w:r w:rsidRPr="00060E7A">
        <w:rPr>
          <w:rFonts w:ascii="Times New Roman" w:hAnsi="Times New Roman" w:cs="Times New Roman"/>
          <w:b/>
          <w:bCs/>
          <w:sz w:val="24"/>
          <w:szCs w:val="24"/>
          <w:lang w:val="en-GB"/>
        </w:rPr>
        <w:t>. Declining support for parties endorsing neoliberal welfare reforms, 2011-15. Quality-adjusted weighting of monthly polls, and election results. Percentages.</w:t>
      </w:r>
    </w:p>
    <w:p w:rsidR="00D22F99" w:rsidRPr="00060E7A" w:rsidRDefault="00D22F99" w:rsidP="00D22F99">
      <w:pPr>
        <w:rPr>
          <w:rFonts w:ascii="Times New Roman" w:hAnsi="Times New Roman" w:cs="Times New Roman"/>
          <w:sz w:val="24"/>
          <w:szCs w:val="24"/>
          <w:lang w:val="en-GB"/>
        </w:rPr>
      </w:pPr>
      <w:r w:rsidRPr="00060E7A">
        <w:rPr>
          <w:rFonts w:ascii="Times New Roman" w:hAnsi="Times New Roman" w:cs="Times New Roman"/>
          <w:noProof/>
          <w:sz w:val="24"/>
          <w:szCs w:val="24"/>
          <w:lang w:val="en-GB" w:eastAsia="en-GB"/>
        </w:rPr>
        <w:drawing>
          <wp:inline distT="0" distB="0" distL="0" distR="0" wp14:anchorId="56BC1379" wp14:editId="0843F409">
            <wp:extent cx="6120130" cy="4299189"/>
            <wp:effectExtent l="19050" t="0" r="13970" b="6111"/>
            <wp:docPr id="10"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2F99" w:rsidRPr="00060E7A" w:rsidRDefault="00D22F99" w:rsidP="00D22F99">
      <w:pPr>
        <w:spacing w:after="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Reform parties: Liberals, Conservatives, Liberal Alliance, Radical Liberals</w:t>
      </w:r>
    </w:p>
    <w:p w:rsidR="00D22F99" w:rsidRPr="00060E7A" w:rsidRDefault="00D22F99" w:rsidP="00D22F99">
      <w:pPr>
        <w:spacing w:after="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Anti-reform parties: Unity List, Socialis People’s Party, Social Democrats, the Alternative, and Danish People’s Party.</w:t>
      </w:r>
    </w:p>
    <w:p w:rsidR="00D22F99" w:rsidRPr="00060E7A" w:rsidRDefault="00516002" w:rsidP="00D22F99">
      <w:pPr>
        <w:rPr>
          <w:rFonts w:ascii="Times New Roman" w:hAnsi="Times New Roman" w:cs="Times New Roman"/>
          <w:sz w:val="20"/>
          <w:szCs w:val="20"/>
          <w:lang w:val="en-GB"/>
        </w:rPr>
      </w:pPr>
      <w:r w:rsidRPr="00060E7A">
        <w:rPr>
          <w:rFonts w:ascii="Times New Roman" w:hAnsi="Times New Roman" w:cs="Times New Roman"/>
          <w:sz w:val="20"/>
          <w:szCs w:val="20"/>
          <w:lang w:val="en-GB"/>
        </w:rPr>
        <w:t>Source: Risbjerg Thomsen (2014, 2015).</w:t>
      </w:r>
    </w:p>
    <w:p w:rsidR="00D22F99" w:rsidRPr="00060E7A" w:rsidRDefault="00D22F99" w:rsidP="00D22F99">
      <w:pPr>
        <w:rPr>
          <w:rFonts w:ascii="Times New Roman" w:hAnsi="Times New Roman" w:cs="Times New Roman"/>
          <w:sz w:val="24"/>
          <w:szCs w:val="24"/>
          <w:lang w:val="en-GB"/>
        </w:rPr>
      </w:pPr>
    </w:p>
    <w:p w:rsidR="00C24D3F" w:rsidRPr="00060E7A" w:rsidRDefault="00C24D3F" w:rsidP="00C24D3F">
      <w:pPr>
        <w:pStyle w:val="Heading3"/>
        <w:rPr>
          <w:lang w:val="en-GB"/>
        </w:rPr>
      </w:pPr>
      <w:bookmarkStart w:id="11" w:name="_Toc427117814"/>
      <w:r w:rsidRPr="00060E7A">
        <w:rPr>
          <w:lang w:val="en-GB"/>
        </w:rPr>
        <w:t>5.4. Public attitudes towards welfare in general</w:t>
      </w:r>
      <w:bookmarkEnd w:id="11"/>
    </w:p>
    <w:p w:rsidR="00263498" w:rsidRPr="00060E7A" w:rsidRDefault="00E24B4E" w:rsidP="000D0FB2">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Public attitudes to welfare are basically </w:t>
      </w:r>
      <w:r w:rsidRPr="00060E7A">
        <w:rPr>
          <w:rFonts w:ascii="Times New Roman" w:hAnsi="Times New Roman" w:cs="Times New Roman"/>
          <w:i/>
          <w:iCs/>
          <w:sz w:val="24"/>
          <w:szCs w:val="24"/>
          <w:lang w:val="en-GB"/>
        </w:rPr>
        <w:t>contingent</w:t>
      </w:r>
      <w:r w:rsidR="00C24D3F" w:rsidRPr="00060E7A">
        <w:rPr>
          <w:rFonts w:ascii="Times New Roman" w:hAnsi="Times New Roman" w:cs="Times New Roman"/>
          <w:sz w:val="24"/>
          <w:szCs w:val="24"/>
          <w:lang w:val="en-GB"/>
        </w:rPr>
        <w:t xml:space="preserve"> (Rothstein, 1998; Svallfors, 1989; Goul Andersen, 2008). In the first place, attitudes</w:t>
      </w:r>
      <w:r w:rsidRPr="00060E7A">
        <w:rPr>
          <w:rFonts w:ascii="Times New Roman" w:hAnsi="Times New Roman" w:cs="Times New Roman"/>
          <w:sz w:val="24"/>
          <w:szCs w:val="24"/>
          <w:lang w:val="en-GB"/>
        </w:rPr>
        <w:t xml:space="preserve"> depend on perceptions of the economy and on affordability of welfare</w:t>
      </w:r>
      <w:r w:rsidR="00C24D3F" w:rsidRPr="00060E7A">
        <w:rPr>
          <w:rFonts w:ascii="Times New Roman" w:hAnsi="Times New Roman" w:cs="Times New Roman"/>
          <w:sz w:val="24"/>
          <w:szCs w:val="24"/>
          <w:lang w:val="en-GB"/>
        </w:rPr>
        <w:t xml:space="preserve">. Secondly, they </w:t>
      </w:r>
      <w:r w:rsidRPr="00060E7A">
        <w:rPr>
          <w:rFonts w:ascii="Times New Roman" w:hAnsi="Times New Roman" w:cs="Times New Roman"/>
          <w:sz w:val="24"/>
          <w:szCs w:val="24"/>
          <w:lang w:val="en-GB"/>
        </w:rPr>
        <w:t>follow</w:t>
      </w:r>
      <w:r w:rsidR="00C24D3F" w:rsidRPr="00060E7A">
        <w:rPr>
          <w:rFonts w:ascii="Times New Roman" w:hAnsi="Times New Roman" w:cs="Times New Roman"/>
          <w:sz w:val="24"/>
          <w:szCs w:val="24"/>
          <w:lang w:val="en-GB"/>
        </w:rPr>
        <w:t xml:space="preserve"> </w:t>
      </w:r>
      <w:r w:rsidRPr="00060E7A">
        <w:rPr>
          <w:rFonts w:ascii="Times New Roman" w:hAnsi="Times New Roman" w:cs="Times New Roman"/>
          <w:sz w:val="24"/>
          <w:szCs w:val="24"/>
          <w:lang w:val="en-GB"/>
        </w:rPr>
        <w:t>the prisoners’ dilemma logic</w:t>
      </w:r>
      <w:r w:rsidR="00C24D3F" w:rsidRPr="00060E7A">
        <w:rPr>
          <w:rFonts w:ascii="Times New Roman" w:hAnsi="Times New Roman" w:cs="Times New Roman"/>
          <w:sz w:val="24"/>
          <w:szCs w:val="24"/>
          <w:lang w:val="en-GB"/>
        </w:rPr>
        <w:t xml:space="preserve"> in two respects: (a) people must be confident that </w:t>
      </w:r>
      <w:r w:rsidRPr="00060E7A">
        <w:rPr>
          <w:rFonts w:ascii="Times New Roman" w:hAnsi="Times New Roman" w:cs="Times New Roman"/>
          <w:sz w:val="24"/>
          <w:szCs w:val="24"/>
          <w:lang w:val="en-GB"/>
        </w:rPr>
        <w:t xml:space="preserve">everybody pay their fair share in terms of taxes, and </w:t>
      </w:r>
      <w:r w:rsidR="00C24D3F" w:rsidRPr="00060E7A">
        <w:rPr>
          <w:rFonts w:ascii="Times New Roman" w:hAnsi="Times New Roman" w:cs="Times New Roman"/>
          <w:sz w:val="24"/>
          <w:szCs w:val="24"/>
          <w:lang w:val="en-GB"/>
        </w:rPr>
        <w:t xml:space="preserve">(b) that abuse of social benefits is not very widespread. In the landslide election of 1973 which is usually considered a tax protest, anti-welfare election, the latter criteria were not fulfilled at all. As a remarkable consequence, the highest proportion of voters demanding more heavy taxation of people with high incomes was recorded exactly in 1973 when the anti tax Progress Party suddenly entered the Danish Parliament with 15.9 per cent of the voters behind them. The party leader </w:t>
      </w:r>
      <w:r w:rsidR="000D0FB2" w:rsidRPr="00060E7A">
        <w:rPr>
          <w:rFonts w:ascii="Times New Roman" w:hAnsi="Times New Roman" w:cs="Times New Roman"/>
          <w:sz w:val="24"/>
          <w:szCs w:val="24"/>
          <w:lang w:val="en-GB"/>
        </w:rPr>
        <w:t>Mogens Glistrup had not only compared tax evasion with the resistance movement during the German occupation 1940-45; he had also demonstrated that as a tax lawyer, he was able to escape income taxes himself.</w:t>
      </w:r>
      <w:r w:rsidRPr="00060E7A">
        <w:rPr>
          <w:rFonts w:ascii="Times New Roman" w:hAnsi="Times New Roman" w:cs="Times New Roman"/>
          <w:sz w:val="24"/>
          <w:szCs w:val="24"/>
          <w:lang w:val="en-GB"/>
        </w:rPr>
        <w:t xml:space="preserve"> </w:t>
      </w:r>
    </w:p>
    <w:p w:rsidR="000D0FB2" w:rsidRPr="00060E7A" w:rsidRDefault="000D0FB2" w:rsidP="000D0FB2">
      <w:pPr>
        <w:rPr>
          <w:rFonts w:ascii="Times New Roman" w:hAnsi="Times New Roman" w:cs="Times New Roman"/>
          <w:sz w:val="24"/>
          <w:szCs w:val="24"/>
          <w:lang w:val="en-GB"/>
        </w:rPr>
      </w:pPr>
      <w:r w:rsidRPr="00060E7A">
        <w:rPr>
          <w:rFonts w:ascii="Times New Roman" w:hAnsi="Times New Roman" w:cs="Times New Roman"/>
          <w:sz w:val="24"/>
          <w:szCs w:val="24"/>
          <w:lang w:val="en-GB"/>
        </w:rPr>
        <w:t>The Danish income taxes are the most visible in the world since there are virtually no social contributions. High visibility could be expected to generate criticism, but this is not the case: Taxes and tax deductions, except corporate taxes, are</w:t>
      </w:r>
      <w:r w:rsidR="00E24B4E" w:rsidRPr="00060E7A">
        <w:rPr>
          <w:rFonts w:ascii="Times New Roman" w:hAnsi="Times New Roman" w:cs="Times New Roman"/>
          <w:sz w:val="24"/>
          <w:szCs w:val="24"/>
          <w:lang w:val="en-GB"/>
        </w:rPr>
        <w:t xml:space="preserve"> highly transparent, and at least among ordinary citizens, the opportunities for tax evasion have become virtually non-existent, except in the shape of network-based moonlight work. The state has almost any thinkable information about people’s income as employers, banks and others are obliged to report any information they have. </w:t>
      </w:r>
    </w:p>
    <w:p w:rsidR="00E24B4E" w:rsidRPr="00060E7A" w:rsidRDefault="00E24B4E" w:rsidP="00E15A2A">
      <w:pPr>
        <w:rPr>
          <w:rFonts w:ascii="Times New Roman" w:hAnsi="Times New Roman" w:cs="Times New Roman"/>
          <w:sz w:val="24"/>
          <w:szCs w:val="24"/>
          <w:lang w:val="en-GB"/>
        </w:rPr>
      </w:pPr>
      <w:r w:rsidRPr="00060E7A">
        <w:rPr>
          <w:rFonts w:ascii="Times New Roman" w:hAnsi="Times New Roman" w:cs="Times New Roman"/>
          <w:sz w:val="24"/>
          <w:szCs w:val="24"/>
          <w:lang w:val="en-GB"/>
        </w:rPr>
        <w:t>As to abuse</w:t>
      </w:r>
      <w:r w:rsidR="000D0FB2" w:rsidRPr="00060E7A">
        <w:rPr>
          <w:rFonts w:ascii="Times New Roman" w:hAnsi="Times New Roman" w:cs="Times New Roman"/>
          <w:sz w:val="24"/>
          <w:szCs w:val="24"/>
          <w:lang w:val="en-GB"/>
        </w:rPr>
        <w:t xml:space="preserve"> of social benefits</w:t>
      </w:r>
      <w:r w:rsidRPr="00060E7A">
        <w:rPr>
          <w:rFonts w:ascii="Times New Roman" w:hAnsi="Times New Roman" w:cs="Times New Roman"/>
          <w:sz w:val="24"/>
          <w:szCs w:val="24"/>
          <w:lang w:val="en-GB"/>
        </w:rPr>
        <w:t xml:space="preserve">, this </w:t>
      </w:r>
      <w:r w:rsidR="000D0FB2" w:rsidRPr="00060E7A">
        <w:rPr>
          <w:rFonts w:ascii="Times New Roman" w:hAnsi="Times New Roman" w:cs="Times New Roman"/>
          <w:sz w:val="24"/>
          <w:szCs w:val="24"/>
          <w:lang w:val="en-GB"/>
        </w:rPr>
        <w:t xml:space="preserve">was </w:t>
      </w:r>
      <w:r w:rsidRPr="00060E7A">
        <w:rPr>
          <w:rFonts w:ascii="Times New Roman" w:hAnsi="Times New Roman" w:cs="Times New Roman"/>
          <w:sz w:val="24"/>
          <w:szCs w:val="24"/>
          <w:lang w:val="en-GB"/>
        </w:rPr>
        <w:t xml:space="preserve">largely not an issue </w:t>
      </w:r>
      <w:r w:rsidR="000D0FB2" w:rsidRPr="00060E7A">
        <w:rPr>
          <w:rFonts w:ascii="Times New Roman" w:hAnsi="Times New Roman" w:cs="Times New Roman"/>
          <w:sz w:val="24"/>
          <w:szCs w:val="24"/>
          <w:lang w:val="en-GB"/>
        </w:rPr>
        <w:t xml:space="preserve">from the 1980s until recently. The Danish flexicurity system may also contribute to trust in recipients of cash benefits as it means that the </w:t>
      </w:r>
      <w:r w:rsidR="006D70AD" w:rsidRPr="00060E7A">
        <w:rPr>
          <w:rFonts w:ascii="Times New Roman" w:hAnsi="Times New Roman" w:cs="Times New Roman"/>
          <w:sz w:val="24"/>
          <w:szCs w:val="24"/>
          <w:lang w:val="en-GB"/>
        </w:rPr>
        <w:t xml:space="preserve">experience of unemployment is </w:t>
      </w:r>
      <w:r w:rsidR="000D0FB2" w:rsidRPr="00060E7A">
        <w:rPr>
          <w:rFonts w:ascii="Times New Roman" w:hAnsi="Times New Roman" w:cs="Times New Roman"/>
          <w:sz w:val="24"/>
          <w:szCs w:val="24"/>
          <w:lang w:val="en-GB"/>
        </w:rPr>
        <w:t xml:space="preserve">extremely </w:t>
      </w:r>
      <w:r w:rsidR="006D70AD" w:rsidRPr="00060E7A">
        <w:rPr>
          <w:rFonts w:ascii="Times New Roman" w:hAnsi="Times New Roman" w:cs="Times New Roman"/>
          <w:sz w:val="24"/>
          <w:szCs w:val="24"/>
          <w:lang w:val="en-GB"/>
        </w:rPr>
        <w:t xml:space="preserve">widespread </w:t>
      </w:r>
      <w:r w:rsidR="000D0FB2" w:rsidRPr="00060E7A">
        <w:rPr>
          <w:rFonts w:ascii="Times New Roman" w:hAnsi="Times New Roman" w:cs="Times New Roman"/>
          <w:sz w:val="24"/>
          <w:szCs w:val="24"/>
          <w:lang w:val="en-GB"/>
        </w:rPr>
        <w:t>whereas long-term unemployment, on the other hand, is much more rare than in the Continental European systems. Even in a situation with moderate unemployment as in 2011</w:t>
      </w:r>
      <w:r w:rsidR="00E15A2A" w:rsidRPr="00060E7A">
        <w:rPr>
          <w:rFonts w:ascii="Times New Roman" w:hAnsi="Times New Roman" w:cs="Times New Roman"/>
          <w:sz w:val="24"/>
          <w:szCs w:val="24"/>
          <w:lang w:val="en-GB"/>
        </w:rPr>
        <w:t xml:space="preserve">, as many as 45 per cent of the adult population had </w:t>
      </w:r>
      <w:r w:rsidR="006D70AD" w:rsidRPr="00060E7A">
        <w:rPr>
          <w:rFonts w:ascii="Times New Roman" w:hAnsi="Times New Roman" w:cs="Times New Roman"/>
          <w:sz w:val="24"/>
          <w:szCs w:val="24"/>
          <w:lang w:val="en-GB"/>
        </w:rPr>
        <w:t>experienced unemployment within the last year themselves, or for some members of the closest family (spouse, parents or children)</w:t>
      </w:r>
      <w:r w:rsidR="00E15A2A" w:rsidRPr="00060E7A">
        <w:rPr>
          <w:rFonts w:ascii="Times New Roman" w:hAnsi="Times New Roman" w:cs="Times New Roman"/>
          <w:sz w:val="24"/>
          <w:szCs w:val="24"/>
          <w:lang w:val="en-GB"/>
        </w:rPr>
        <w:t xml:space="preserve"> </w:t>
      </w:r>
      <w:r w:rsidR="006D70AD" w:rsidRPr="00060E7A">
        <w:rPr>
          <w:rFonts w:ascii="Times New Roman" w:hAnsi="Times New Roman" w:cs="Times New Roman"/>
          <w:sz w:val="24"/>
          <w:szCs w:val="24"/>
          <w:lang w:val="en-GB"/>
        </w:rPr>
        <w:t xml:space="preserve">within </w:t>
      </w:r>
      <w:r w:rsidR="00E15A2A" w:rsidRPr="00060E7A">
        <w:rPr>
          <w:rFonts w:ascii="Times New Roman" w:hAnsi="Times New Roman" w:cs="Times New Roman"/>
          <w:sz w:val="24"/>
          <w:szCs w:val="24"/>
          <w:lang w:val="en-GB"/>
        </w:rPr>
        <w:t xml:space="preserve">the last </w:t>
      </w:r>
      <w:r w:rsidR="006D70AD" w:rsidRPr="00060E7A">
        <w:rPr>
          <w:rFonts w:ascii="Times New Roman" w:hAnsi="Times New Roman" w:cs="Times New Roman"/>
          <w:sz w:val="24"/>
          <w:szCs w:val="24"/>
          <w:lang w:val="en-GB"/>
        </w:rPr>
        <w:t>12 month</w:t>
      </w:r>
      <w:r w:rsidR="00E15A2A" w:rsidRPr="00060E7A">
        <w:rPr>
          <w:rFonts w:ascii="Times New Roman" w:hAnsi="Times New Roman" w:cs="Times New Roman"/>
          <w:sz w:val="24"/>
          <w:szCs w:val="24"/>
          <w:lang w:val="en-GB"/>
        </w:rPr>
        <w:t>s (Goul Andersen, 2014)</w:t>
      </w:r>
      <w:r w:rsidR="006D70AD" w:rsidRPr="00060E7A">
        <w:rPr>
          <w:rFonts w:ascii="Times New Roman" w:hAnsi="Times New Roman" w:cs="Times New Roman"/>
          <w:sz w:val="24"/>
          <w:szCs w:val="24"/>
          <w:lang w:val="en-GB"/>
        </w:rPr>
        <w:t>.</w:t>
      </w:r>
    </w:p>
    <w:p w:rsidR="006D70AD" w:rsidRPr="00060E7A" w:rsidRDefault="006D70AD" w:rsidP="00E15A2A">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As </w:t>
      </w:r>
      <w:r w:rsidR="00E15A2A" w:rsidRPr="00060E7A">
        <w:rPr>
          <w:rFonts w:ascii="Times New Roman" w:hAnsi="Times New Roman" w:cs="Times New Roman"/>
          <w:sz w:val="24"/>
          <w:szCs w:val="24"/>
          <w:lang w:val="en-GB"/>
        </w:rPr>
        <w:t>regards macroeconomic conditions, welfare state support in Denmark has tended to follow the business cycle. During the short-lived prosperity in the mid-1980s, support for welfare increased, and this was repeated in 2005 and 2007. This was probably also supported by the fact that the Liberal Party made a virtue out of necessity and declared itself as a pro-welfare party – which it was to a considerable extent, as measured by the increase in public service expenditures. At any rate, there was a small decline in 2011, but support remained substantially higher than in the 1970s or the 1990s – or at the same level as the first “golden age” measurement in 1969.</w:t>
      </w:r>
    </w:p>
    <w:p w:rsidR="00516002" w:rsidRPr="00060E7A" w:rsidRDefault="00516002" w:rsidP="00565387">
      <w:pPr>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 xml:space="preserve">Figure </w:t>
      </w:r>
      <w:r w:rsidR="00565387" w:rsidRPr="00060E7A">
        <w:rPr>
          <w:rFonts w:ascii="Times New Roman" w:hAnsi="Times New Roman" w:cs="Times New Roman"/>
          <w:b/>
          <w:bCs/>
          <w:sz w:val="24"/>
          <w:szCs w:val="24"/>
          <w:lang w:val="en-GB"/>
        </w:rPr>
        <w:t>6</w:t>
      </w:r>
      <w:r w:rsidRPr="00060E7A">
        <w:rPr>
          <w:rFonts w:ascii="Times New Roman" w:hAnsi="Times New Roman" w:cs="Times New Roman"/>
          <w:b/>
          <w:bCs/>
          <w:sz w:val="24"/>
          <w:szCs w:val="24"/>
          <w:lang w:val="en-GB"/>
        </w:rPr>
        <w:t>. Support for maintaining social welfare at least at the current level. PDI. Percentage points.</w:t>
      </w:r>
    </w:p>
    <w:p w:rsidR="009378F9" w:rsidRPr="00060E7A" w:rsidRDefault="009378F9" w:rsidP="00BA7F2D">
      <w:pPr>
        <w:spacing w:after="0" w:line="240" w:lineRule="auto"/>
        <w:rPr>
          <w:rFonts w:ascii="Times New Roman" w:hAnsi="Times New Roman" w:cs="Times New Roman"/>
          <w:sz w:val="24"/>
          <w:szCs w:val="24"/>
          <w:lang w:val="en-GB"/>
        </w:rPr>
      </w:pPr>
      <w:r w:rsidRPr="00060E7A">
        <w:rPr>
          <w:rFonts w:ascii="Times New Roman" w:hAnsi="Times New Roman" w:cs="Times New Roman"/>
          <w:noProof/>
          <w:sz w:val="24"/>
          <w:szCs w:val="24"/>
          <w:lang w:val="en-GB" w:eastAsia="en-GB"/>
        </w:rPr>
        <w:drawing>
          <wp:inline distT="0" distB="0" distL="0" distR="0" wp14:anchorId="31F5A00A" wp14:editId="37095DE6">
            <wp:extent cx="5295900" cy="3352800"/>
            <wp:effectExtent l="19050" t="0" r="1905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776D" w:rsidRPr="00060E7A" w:rsidRDefault="0098776D" w:rsidP="00BA7F2D">
      <w:pPr>
        <w:spacing w:after="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Source: Danish Election Surveys</w:t>
      </w:r>
    </w:p>
    <w:p w:rsidR="00516002" w:rsidRPr="00060E7A" w:rsidRDefault="00565387" w:rsidP="00516002">
      <w:pPr>
        <w:spacing w:after="0" w:line="240" w:lineRule="auto"/>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Figure 7</w:t>
      </w:r>
      <w:r w:rsidR="00516002" w:rsidRPr="00060E7A">
        <w:rPr>
          <w:rFonts w:ascii="Times New Roman" w:hAnsi="Times New Roman" w:cs="Times New Roman"/>
          <w:b/>
          <w:bCs/>
          <w:sz w:val="24"/>
          <w:szCs w:val="24"/>
          <w:lang w:val="en-GB"/>
        </w:rPr>
        <w:t xml:space="preserve">.A and B. Voter support for increasing user charges and for improved welfare rather than tax relief. PDI. Percentage points. (positive=majority of pro-welfare preferences). </w:t>
      </w:r>
    </w:p>
    <w:p w:rsidR="009378F9" w:rsidRPr="00060E7A" w:rsidRDefault="009378F9" w:rsidP="00BA7F2D">
      <w:pPr>
        <w:spacing w:after="0" w:line="240" w:lineRule="auto"/>
        <w:rPr>
          <w:rFonts w:ascii="Times New Roman" w:hAnsi="Times New Roman" w:cs="Times New Roman"/>
          <w:sz w:val="24"/>
          <w:szCs w:val="24"/>
          <w:lang w:val="en-GB"/>
        </w:rPr>
      </w:pPr>
    </w:p>
    <w:p w:rsidR="009378F9" w:rsidRPr="00060E7A" w:rsidRDefault="0098776D" w:rsidP="00BA7F2D">
      <w:pPr>
        <w:spacing w:after="0" w:line="240" w:lineRule="auto"/>
        <w:rPr>
          <w:rFonts w:ascii="Times New Roman" w:hAnsi="Times New Roman" w:cs="Times New Roman"/>
          <w:sz w:val="20"/>
          <w:szCs w:val="20"/>
          <w:lang w:val="en-GB"/>
        </w:rPr>
      </w:pPr>
      <w:r w:rsidRPr="00060E7A">
        <w:rPr>
          <w:rFonts w:ascii="Times New Roman" w:hAnsi="Times New Roman" w:cs="Times New Roman"/>
          <w:noProof/>
          <w:sz w:val="20"/>
          <w:szCs w:val="20"/>
          <w:lang w:val="en-GB" w:eastAsia="en-GB"/>
        </w:rPr>
        <w:drawing>
          <wp:anchor distT="0" distB="0" distL="114300" distR="114300" simplePos="0" relativeHeight="251658240" behindDoc="0" locked="0" layoutInCell="1" allowOverlap="1" wp14:anchorId="7D641838" wp14:editId="04020A1E">
            <wp:simplePos x="0" y="0"/>
            <wp:positionH relativeFrom="column">
              <wp:align>left</wp:align>
            </wp:positionH>
            <wp:positionV relativeFrom="paragraph">
              <wp:align>top</wp:align>
            </wp:positionV>
            <wp:extent cx="2811145" cy="2743200"/>
            <wp:effectExtent l="19050" t="0" r="27305" b="0"/>
            <wp:wrapSquare wrapText="bothSides"/>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9378F9" w:rsidRPr="00060E7A">
        <w:rPr>
          <w:rFonts w:ascii="Times New Roman" w:hAnsi="Times New Roman" w:cs="Times New Roman"/>
          <w:noProof/>
          <w:sz w:val="20"/>
          <w:szCs w:val="20"/>
          <w:lang w:val="en-GB" w:eastAsia="en-GB"/>
        </w:rPr>
        <w:drawing>
          <wp:inline distT="0" distB="0" distL="0" distR="0" wp14:anchorId="5D4AD86B" wp14:editId="1B5D7191">
            <wp:extent cx="2847522" cy="2743200"/>
            <wp:effectExtent l="19050" t="0" r="9978" b="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60E7A">
        <w:rPr>
          <w:rFonts w:ascii="Times New Roman" w:hAnsi="Times New Roman" w:cs="Times New Roman"/>
          <w:sz w:val="20"/>
          <w:szCs w:val="20"/>
          <w:lang w:val="en-GB"/>
        </w:rPr>
        <w:t xml:space="preserve"> </w:t>
      </w:r>
      <w:r w:rsidR="009378F9" w:rsidRPr="00060E7A">
        <w:rPr>
          <w:rFonts w:ascii="Times New Roman" w:hAnsi="Times New Roman" w:cs="Times New Roman"/>
          <w:sz w:val="20"/>
          <w:szCs w:val="20"/>
          <w:lang w:val="en-GB"/>
        </w:rPr>
        <w:br w:type="textWrapping" w:clear="all"/>
      </w:r>
      <w:r w:rsidRPr="00060E7A">
        <w:rPr>
          <w:rFonts w:ascii="Times New Roman" w:hAnsi="Times New Roman" w:cs="Times New Roman"/>
          <w:sz w:val="20"/>
          <w:szCs w:val="20"/>
          <w:lang w:val="en-GB"/>
        </w:rPr>
        <w:t>Source: Danish Election Surveys</w:t>
      </w:r>
    </w:p>
    <w:p w:rsidR="0098776D" w:rsidRPr="00060E7A" w:rsidRDefault="0098776D" w:rsidP="00BA7F2D">
      <w:pPr>
        <w:spacing w:after="0" w:line="240" w:lineRule="auto"/>
        <w:rPr>
          <w:rFonts w:ascii="Times New Roman" w:hAnsi="Times New Roman"/>
          <w:b/>
          <w:bCs/>
          <w:lang w:val="en-GB"/>
        </w:rPr>
      </w:pPr>
    </w:p>
    <w:p w:rsidR="00E15A2A" w:rsidRPr="00060E7A" w:rsidRDefault="00E15A2A" w:rsidP="00BA7F2D">
      <w:pPr>
        <w:spacing w:after="0" w:line="240" w:lineRule="auto"/>
        <w:rPr>
          <w:rFonts w:ascii="Times New Roman" w:hAnsi="Times New Roman"/>
          <w:sz w:val="24"/>
          <w:szCs w:val="24"/>
          <w:lang w:val="en-GB"/>
        </w:rPr>
      </w:pPr>
      <w:r w:rsidRPr="00060E7A">
        <w:rPr>
          <w:rFonts w:ascii="Times New Roman" w:hAnsi="Times New Roman"/>
          <w:sz w:val="24"/>
          <w:szCs w:val="24"/>
          <w:lang w:val="en-GB"/>
        </w:rPr>
        <w:t xml:space="preserve">This is also confirmed by a long-term increase in resistance against </w:t>
      </w:r>
      <w:r w:rsidR="006F3BEB" w:rsidRPr="00060E7A">
        <w:rPr>
          <w:rFonts w:ascii="Times New Roman" w:hAnsi="Times New Roman"/>
          <w:sz w:val="24"/>
          <w:szCs w:val="24"/>
          <w:lang w:val="en-GB"/>
        </w:rPr>
        <w:t>extra user charges, and in preference for improved welfare rather than tax relief if the economy allows one of these possibilities.</w:t>
      </w:r>
    </w:p>
    <w:p w:rsidR="006F3BEB" w:rsidRPr="00060E7A" w:rsidRDefault="006F3BEB" w:rsidP="00BA7F2D">
      <w:pPr>
        <w:spacing w:after="0" w:line="240" w:lineRule="auto"/>
        <w:rPr>
          <w:rFonts w:ascii="Times New Roman" w:hAnsi="Times New Roman"/>
          <w:sz w:val="24"/>
          <w:szCs w:val="24"/>
          <w:lang w:val="en-GB"/>
        </w:rPr>
      </w:pPr>
    </w:p>
    <w:p w:rsidR="006F3BEB" w:rsidRPr="00060E7A" w:rsidRDefault="006F3BEB" w:rsidP="006F3BEB">
      <w:pPr>
        <w:spacing w:after="0" w:line="240" w:lineRule="auto"/>
        <w:rPr>
          <w:rFonts w:ascii="Times New Roman" w:hAnsi="Times New Roman"/>
          <w:sz w:val="24"/>
          <w:szCs w:val="24"/>
          <w:lang w:val="en-GB"/>
        </w:rPr>
      </w:pPr>
      <w:r w:rsidRPr="00060E7A">
        <w:rPr>
          <w:rFonts w:ascii="Times New Roman" w:hAnsi="Times New Roman"/>
          <w:sz w:val="24"/>
          <w:szCs w:val="24"/>
          <w:lang w:val="en-GB"/>
        </w:rPr>
        <w:t>As regards the underlying support for equality, this has declined a bit since the peak values of 1969, 1973/74 and 1985. But it is remarkable that the debate about the impact of crisis policy on equality in the 1980s generated a steep increase in support for equality from 1984 to 1985 when the economy prospered more than anticipated. At least some notion of “fair share” seems to be very strong. It is worth adding also that, despite the enormous decline in class-based voting, the class differences in attitudes towards inequality have remained almost the same throughout the 40 year period (Goul Andersen, 2015).</w:t>
      </w:r>
    </w:p>
    <w:p w:rsidR="00E15A2A" w:rsidRPr="00060E7A" w:rsidRDefault="00E15A2A" w:rsidP="00BA7F2D">
      <w:pPr>
        <w:spacing w:after="0" w:line="240" w:lineRule="auto"/>
        <w:rPr>
          <w:rFonts w:ascii="Times New Roman" w:hAnsi="Times New Roman"/>
          <w:sz w:val="24"/>
          <w:szCs w:val="24"/>
          <w:lang w:val="en-GB"/>
        </w:rPr>
      </w:pPr>
    </w:p>
    <w:p w:rsidR="00E15A2A" w:rsidRPr="00060E7A" w:rsidRDefault="00E15A2A" w:rsidP="00BA7F2D">
      <w:pPr>
        <w:spacing w:after="0" w:line="240" w:lineRule="auto"/>
        <w:rPr>
          <w:rFonts w:ascii="Times New Roman" w:hAnsi="Times New Roman"/>
          <w:b/>
          <w:bCs/>
          <w:lang w:val="en-GB"/>
        </w:rPr>
      </w:pPr>
    </w:p>
    <w:p w:rsidR="001142D6" w:rsidRPr="00060E7A" w:rsidRDefault="001142D6">
      <w:pPr>
        <w:rPr>
          <w:rFonts w:ascii="Times New Roman" w:hAnsi="Times New Roman"/>
          <w:b/>
          <w:bCs/>
          <w:lang w:val="en-GB"/>
        </w:rPr>
      </w:pPr>
      <w:r w:rsidRPr="00060E7A">
        <w:rPr>
          <w:rFonts w:ascii="Times New Roman" w:hAnsi="Times New Roman"/>
          <w:b/>
          <w:bCs/>
          <w:lang w:val="en-GB"/>
        </w:rPr>
        <w:br w:type="page"/>
      </w:r>
    </w:p>
    <w:p w:rsidR="006D70AD" w:rsidRPr="00060E7A" w:rsidRDefault="006D70AD" w:rsidP="00565387">
      <w:pPr>
        <w:spacing w:after="120" w:line="240" w:lineRule="auto"/>
        <w:rPr>
          <w:rFonts w:ascii="Times New Roman" w:hAnsi="Times New Roman"/>
          <w:b/>
          <w:bCs/>
          <w:sz w:val="24"/>
          <w:szCs w:val="24"/>
          <w:lang w:val="en-GB"/>
        </w:rPr>
      </w:pPr>
      <w:r w:rsidRPr="00060E7A">
        <w:rPr>
          <w:rFonts w:ascii="Times New Roman" w:hAnsi="Times New Roman"/>
          <w:b/>
          <w:bCs/>
          <w:sz w:val="24"/>
          <w:szCs w:val="24"/>
          <w:lang w:val="en-GB"/>
        </w:rPr>
        <w:t>Figur</w:t>
      </w:r>
      <w:r w:rsidR="006F3BEB" w:rsidRPr="00060E7A">
        <w:rPr>
          <w:rFonts w:ascii="Times New Roman" w:hAnsi="Times New Roman"/>
          <w:b/>
          <w:bCs/>
          <w:sz w:val="24"/>
          <w:szCs w:val="24"/>
          <w:lang w:val="en-GB"/>
        </w:rPr>
        <w:t>e</w:t>
      </w:r>
      <w:r w:rsidRPr="00060E7A">
        <w:rPr>
          <w:rFonts w:ascii="Times New Roman" w:hAnsi="Times New Roman"/>
          <w:b/>
          <w:bCs/>
          <w:sz w:val="24"/>
          <w:szCs w:val="24"/>
          <w:lang w:val="en-GB"/>
        </w:rPr>
        <w:t xml:space="preserve"> </w:t>
      </w:r>
      <w:r w:rsidR="00565387" w:rsidRPr="00060E7A">
        <w:rPr>
          <w:rFonts w:ascii="Times New Roman" w:hAnsi="Times New Roman"/>
          <w:b/>
          <w:bCs/>
          <w:sz w:val="24"/>
          <w:szCs w:val="24"/>
          <w:lang w:val="en-GB"/>
        </w:rPr>
        <w:t>8</w:t>
      </w:r>
      <w:r w:rsidRPr="00060E7A">
        <w:rPr>
          <w:rFonts w:ascii="Times New Roman" w:hAnsi="Times New Roman"/>
          <w:b/>
          <w:bCs/>
          <w:sz w:val="24"/>
          <w:szCs w:val="24"/>
          <w:lang w:val="en-GB"/>
        </w:rPr>
        <w:t xml:space="preserve">. </w:t>
      </w:r>
      <w:r w:rsidR="006F3BEB" w:rsidRPr="00060E7A">
        <w:rPr>
          <w:rFonts w:ascii="Times New Roman" w:hAnsi="Times New Roman"/>
          <w:b/>
          <w:bCs/>
          <w:sz w:val="24"/>
          <w:szCs w:val="24"/>
          <w:lang w:val="en-GB"/>
        </w:rPr>
        <w:t>Support for higher equality in incomes. 1969-2011</w:t>
      </w:r>
      <w:r w:rsidRPr="00060E7A">
        <w:rPr>
          <w:rFonts w:ascii="Times New Roman" w:hAnsi="Times New Roman"/>
          <w:b/>
          <w:bCs/>
          <w:sz w:val="24"/>
          <w:szCs w:val="24"/>
          <w:lang w:val="en-GB"/>
        </w:rPr>
        <w:t>.</w:t>
      </w:r>
      <w:r w:rsidR="006F3BEB" w:rsidRPr="00060E7A">
        <w:rPr>
          <w:rFonts w:ascii="Times New Roman" w:hAnsi="Times New Roman"/>
          <w:b/>
          <w:bCs/>
          <w:sz w:val="24"/>
          <w:szCs w:val="24"/>
          <w:lang w:val="en-GB"/>
        </w:rPr>
        <w:t xml:space="preserve"> PDI (percentage points)</w:t>
      </w:r>
    </w:p>
    <w:p w:rsidR="006D70AD" w:rsidRPr="00060E7A" w:rsidRDefault="006D70AD" w:rsidP="00BA7F2D">
      <w:pPr>
        <w:spacing w:after="0" w:line="240" w:lineRule="auto"/>
        <w:rPr>
          <w:rFonts w:ascii="Times New Roman" w:hAnsi="Times New Roman"/>
          <w:sz w:val="20"/>
          <w:szCs w:val="20"/>
          <w:lang w:val="en-GB"/>
        </w:rPr>
      </w:pPr>
      <w:r w:rsidRPr="00060E7A">
        <w:rPr>
          <w:rFonts w:ascii="Times New Roman" w:hAnsi="Times New Roman"/>
          <w:noProof/>
          <w:sz w:val="20"/>
          <w:szCs w:val="20"/>
          <w:lang w:val="en-GB" w:eastAsia="en-GB"/>
        </w:rPr>
        <w:drawing>
          <wp:inline distT="0" distB="0" distL="0" distR="0" wp14:anchorId="6ADA8258" wp14:editId="5BC74C6C">
            <wp:extent cx="4572000" cy="2673350"/>
            <wp:effectExtent l="19050" t="0" r="19050" b="0"/>
            <wp:docPr id="5"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70AD" w:rsidRPr="00060E7A" w:rsidRDefault="0098776D" w:rsidP="00BA7F2D">
      <w:pPr>
        <w:spacing w:after="0" w:line="240" w:lineRule="auto"/>
        <w:rPr>
          <w:rFonts w:ascii="Times New Roman" w:hAnsi="Times New Roman"/>
          <w:sz w:val="20"/>
          <w:szCs w:val="20"/>
          <w:lang w:val="en-GB"/>
        </w:rPr>
      </w:pPr>
      <w:r w:rsidRPr="00060E7A">
        <w:rPr>
          <w:rFonts w:ascii="Times New Roman" w:hAnsi="Times New Roman" w:cs="Times New Roman"/>
          <w:sz w:val="20"/>
          <w:szCs w:val="20"/>
          <w:lang w:val="en-GB"/>
        </w:rPr>
        <w:t>Source: Danish Election Surveys</w:t>
      </w:r>
    </w:p>
    <w:p w:rsidR="006D70AD" w:rsidRPr="00060E7A" w:rsidRDefault="006D70AD" w:rsidP="00BA7F2D">
      <w:pPr>
        <w:rPr>
          <w:rFonts w:ascii="Times New Roman" w:hAnsi="Times New Roman" w:cs="Times New Roman"/>
          <w:sz w:val="24"/>
          <w:szCs w:val="24"/>
          <w:lang w:val="en-GB"/>
        </w:rPr>
      </w:pPr>
    </w:p>
    <w:p w:rsidR="006F3BEB" w:rsidRPr="00060E7A" w:rsidRDefault="006F3BEB" w:rsidP="00EF6615">
      <w:pPr>
        <w:rPr>
          <w:b/>
          <w:bCs/>
          <w:szCs w:val="24"/>
          <w:lang w:val="en-GB"/>
        </w:rPr>
      </w:pPr>
      <w:r w:rsidRPr="00060E7A">
        <w:rPr>
          <w:rFonts w:ascii="Times New Roman" w:hAnsi="Times New Roman" w:cs="Times New Roman"/>
          <w:sz w:val="24"/>
          <w:szCs w:val="24"/>
          <w:lang w:val="en-GB"/>
        </w:rPr>
        <w:t xml:space="preserve">However, the crisis did have an impact on the attitudes (as will also be revealed below). Expectations were substantially modified, and </w:t>
      </w:r>
      <w:r w:rsidR="00EF6615" w:rsidRPr="00060E7A">
        <w:rPr>
          <w:rFonts w:ascii="Times New Roman" w:hAnsi="Times New Roman" w:cs="Times New Roman"/>
          <w:sz w:val="24"/>
          <w:szCs w:val="24"/>
          <w:lang w:val="en-GB"/>
        </w:rPr>
        <w:t xml:space="preserve">much </w:t>
      </w:r>
      <w:r w:rsidRPr="00060E7A">
        <w:rPr>
          <w:rFonts w:ascii="Times New Roman" w:hAnsi="Times New Roman" w:cs="Times New Roman"/>
          <w:sz w:val="24"/>
          <w:szCs w:val="24"/>
          <w:lang w:val="en-GB"/>
        </w:rPr>
        <w:t>fewer people considered welfare to be sustainable in the long run.</w:t>
      </w:r>
      <w:r w:rsidR="00EF6615" w:rsidRPr="00060E7A">
        <w:rPr>
          <w:rFonts w:ascii="Times New Roman" w:hAnsi="Times New Roman" w:cs="Times New Roman"/>
          <w:sz w:val="24"/>
          <w:szCs w:val="24"/>
          <w:lang w:val="en-GB"/>
        </w:rPr>
        <w:t xml:space="preserve"> The proportion considering welfare unsustainable increased from 19 per cent to 38 per cent.</w:t>
      </w:r>
    </w:p>
    <w:p w:rsidR="0098776D" w:rsidRPr="00060E7A" w:rsidRDefault="0098776D" w:rsidP="00565387">
      <w:pPr>
        <w:spacing w:after="0" w:line="240" w:lineRule="auto"/>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Tab</w:t>
      </w:r>
      <w:r w:rsidR="006F3BEB" w:rsidRPr="00060E7A">
        <w:rPr>
          <w:rFonts w:ascii="Times New Roman" w:hAnsi="Times New Roman" w:cs="Times New Roman"/>
          <w:b/>
          <w:bCs/>
          <w:sz w:val="24"/>
          <w:szCs w:val="24"/>
          <w:lang w:val="en-GB"/>
        </w:rPr>
        <w:t xml:space="preserve">le </w:t>
      </w:r>
      <w:r w:rsidR="00565387" w:rsidRPr="00060E7A">
        <w:rPr>
          <w:rFonts w:ascii="Times New Roman" w:hAnsi="Times New Roman" w:cs="Times New Roman"/>
          <w:b/>
          <w:bCs/>
          <w:sz w:val="24"/>
          <w:szCs w:val="24"/>
          <w:lang w:val="en-GB"/>
        </w:rPr>
        <w:t>4</w:t>
      </w:r>
      <w:r w:rsidR="006F3BEB" w:rsidRPr="00060E7A">
        <w:rPr>
          <w:rFonts w:ascii="Times New Roman" w:hAnsi="Times New Roman" w:cs="Times New Roman"/>
          <w:b/>
          <w:bCs/>
          <w:sz w:val="24"/>
          <w:szCs w:val="24"/>
          <w:lang w:val="en-GB"/>
        </w:rPr>
        <w:t xml:space="preserve">. Can we afford the welfare state? 2007 and 2011. Percentages and </w:t>
      </w:r>
      <w:r w:rsidR="00EF6615" w:rsidRPr="00060E7A">
        <w:rPr>
          <w:rFonts w:ascii="Times New Roman" w:hAnsi="Times New Roman" w:cs="Times New Roman"/>
          <w:b/>
          <w:bCs/>
          <w:sz w:val="24"/>
          <w:szCs w:val="24"/>
          <w:lang w:val="en-GB"/>
        </w:rPr>
        <w:t>PDI (in percentage points: Disagree minus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276"/>
        <w:gridCol w:w="1276"/>
      </w:tblGrid>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In the long run, we cannot afford to maintain the welfare state as we knew it</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2007</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2011</w:t>
            </w:r>
          </w:p>
        </w:tc>
      </w:tr>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Fully agree</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4</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13</w:t>
            </w:r>
          </w:p>
        </w:tc>
      </w:tr>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Mostly agree</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15</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25</w:t>
            </w:r>
          </w:p>
        </w:tc>
      </w:tr>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Neutral, don’t know</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32</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27</w:t>
            </w:r>
          </w:p>
        </w:tc>
      </w:tr>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Mostly disagree</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33</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23</w:t>
            </w:r>
          </w:p>
        </w:tc>
      </w:tr>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Fully disagree</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17</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12</w:t>
            </w:r>
          </w:p>
        </w:tc>
      </w:tr>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Total</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100</w:t>
            </w:r>
          </w:p>
        </w:tc>
        <w:tc>
          <w:tcPr>
            <w:tcW w:w="1276" w:type="dxa"/>
          </w:tcPr>
          <w:p w:rsidR="0098776D" w:rsidRPr="00060E7A" w:rsidRDefault="0098776D" w:rsidP="001142D6">
            <w:pPr>
              <w:spacing w:after="0" w:line="240" w:lineRule="auto"/>
              <w:jc w:val="center"/>
              <w:rPr>
                <w:szCs w:val="24"/>
                <w:lang w:val="en-GB"/>
              </w:rPr>
            </w:pPr>
            <w:r w:rsidRPr="00060E7A">
              <w:rPr>
                <w:szCs w:val="24"/>
                <w:lang w:val="en-GB"/>
              </w:rPr>
              <w:t>100</w:t>
            </w:r>
          </w:p>
        </w:tc>
      </w:tr>
      <w:tr w:rsidR="0098776D" w:rsidRPr="00060E7A" w:rsidTr="00EF6615">
        <w:tc>
          <w:tcPr>
            <w:tcW w:w="5778" w:type="dxa"/>
          </w:tcPr>
          <w:p w:rsidR="0098776D" w:rsidRPr="00060E7A" w:rsidRDefault="00EF6615" w:rsidP="001142D6">
            <w:pPr>
              <w:spacing w:after="0" w:line="240" w:lineRule="auto"/>
              <w:rPr>
                <w:szCs w:val="24"/>
                <w:lang w:val="en-GB"/>
              </w:rPr>
            </w:pPr>
            <w:r w:rsidRPr="00060E7A">
              <w:rPr>
                <w:szCs w:val="24"/>
                <w:lang w:val="en-GB"/>
              </w:rPr>
              <w:t>PDI: Disagree minus agree (percentage points)</w:t>
            </w:r>
          </w:p>
        </w:tc>
        <w:tc>
          <w:tcPr>
            <w:tcW w:w="1276" w:type="dxa"/>
          </w:tcPr>
          <w:p w:rsidR="0098776D" w:rsidRPr="00060E7A" w:rsidRDefault="00EF6615" w:rsidP="001142D6">
            <w:pPr>
              <w:spacing w:after="0" w:line="240" w:lineRule="auto"/>
              <w:jc w:val="center"/>
              <w:rPr>
                <w:szCs w:val="24"/>
                <w:lang w:val="en-GB"/>
              </w:rPr>
            </w:pPr>
            <w:r w:rsidRPr="00060E7A">
              <w:rPr>
                <w:szCs w:val="24"/>
                <w:lang w:val="en-GB"/>
              </w:rPr>
              <w:t>+</w:t>
            </w:r>
            <w:r w:rsidR="0098776D" w:rsidRPr="00060E7A">
              <w:rPr>
                <w:szCs w:val="24"/>
                <w:lang w:val="en-GB"/>
              </w:rPr>
              <w:t>31</w:t>
            </w:r>
          </w:p>
        </w:tc>
        <w:tc>
          <w:tcPr>
            <w:tcW w:w="1276" w:type="dxa"/>
          </w:tcPr>
          <w:p w:rsidR="0098776D" w:rsidRPr="00060E7A" w:rsidRDefault="00EF6615" w:rsidP="001142D6">
            <w:pPr>
              <w:spacing w:after="0" w:line="240" w:lineRule="auto"/>
              <w:jc w:val="center"/>
              <w:rPr>
                <w:szCs w:val="24"/>
                <w:lang w:val="en-GB"/>
              </w:rPr>
            </w:pPr>
            <w:r w:rsidRPr="00060E7A">
              <w:rPr>
                <w:szCs w:val="24"/>
                <w:lang w:val="en-GB"/>
              </w:rPr>
              <w:t>-</w:t>
            </w:r>
            <w:r w:rsidR="0098776D" w:rsidRPr="00060E7A">
              <w:rPr>
                <w:szCs w:val="24"/>
                <w:lang w:val="en-GB"/>
              </w:rPr>
              <w:t>3</w:t>
            </w:r>
          </w:p>
        </w:tc>
      </w:tr>
    </w:tbl>
    <w:p w:rsidR="00EF6615" w:rsidRPr="00060E7A" w:rsidRDefault="001142D6" w:rsidP="001142D6">
      <w:pPr>
        <w:pStyle w:val="Heading2"/>
        <w:spacing w:before="0" w:beforeAutospacing="0" w:after="0" w:afterAutospacing="0"/>
        <w:rPr>
          <w:b w:val="0"/>
          <w:bCs w:val="0"/>
          <w:sz w:val="20"/>
          <w:szCs w:val="20"/>
          <w:lang w:val="en-GB"/>
        </w:rPr>
      </w:pPr>
      <w:r w:rsidRPr="00060E7A">
        <w:rPr>
          <w:b w:val="0"/>
          <w:bCs w:val="0"/>
          <w:sz w:val="20"/>
          <w:szCs w:val="20"/>
          <w:lang w:val="en-GB"/>
        </w:rPr>
        <w:t>Source: Danish election surveys.</w:t>
      </w:r>
    </w:p>
    <w:p w:rsidR="00EF6615" w:rsidRPr="00060E7A" w:rsidRDefault="00EF6615" w:rsidP="00EF6615">
      <w:pPr>
        <w:pStyle w:val="Heading3"/>
        <w:rPr>
          <w:lang w:val="en-GB"/>
        </w:rPr>
      </w:pPr>
      <w:bookmarkStart w:id="12" w:name="_Toc427117815"/>
      <w:r w:rsidRPr="00060E7A">
        <w:rPr>
          <w:lang w:val="en-GB"/>
        </w:rPr>
        <w:t>5.5. Welfare Chauvinism and Blaming the Poor: Attitudes towards specific programmes</w:t>
      </w:r>
      <w:bookmarkEnd w:id="12"/>
    </w:p>
    <w:p w:rsidR="00EF6615" w:rsidRPr="00060E7A" w:rsidRDefault="00EF6615" w:rsidP="00F86375">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Even though the Social Democrats sought to mobilize on security in the 2015 and liberated itself from the constraints imposed in 2011 by the co-governing Radical Liberals, the coalition of parties supporting a Liberal government won the election. One of the main reasons was perhaps </w:t>
      </w:r>
      <w:r w:rsidR="00FE2655" w:rsidRPr="00060E7A">
        <w:rPr>
          <w:rFonts w:ascii="Times New Roman" w:hAnsi="Times New Roman" w:cs="Times New Roman"/>
          <w:sz w:val="24"/>
          <w:szCs w:val="24"/>
          <w:lang w:val="en-GB"/>
        </w:rPr>
        <w:t>the Liberal party’s successful change of the agenda towards questioning the work incentives of social assistance claimants, and towards criticising the government for not preventing an increasing number of asylum seekers. It is difficult to tell how much was caused by the actual number of asylum seekers, and how much was caused by party rhetorics, but the Liberal party was under pressure to promise welfare improvements, especially as regards health care, and this was solved not least by suggesting big savings on foreign aid and on asylum seekers.</w:t>
      </w:r>
      <w:r w:rsidR="00F86375" w:rsidRPr="00060E7A">
        <w:rPr>
          <w:rFonts w:ascii="Times New Roman" w:hAnsi="Times New Roman" w:cs="Times New Roman"/>
          <w:sz w:val="24"/>
          <w:szCs w:val="24"/>
          <w:lang w:val="en-GB"/>
        </w:rPr>
        <w:t xml:space="preserve"> At the same time, the Liberal party was questioning the incentives of social assistance recipients, calculating how much a family with three children could receive altogether in public support under the best possible conditions. </w:t>
      </w:r>
    </w:p>
    <w:p w:rsidR="00F86375" w:rsidRPr="00060E7A" w:rsidRDefault="00F86375" w:rsidP="00F86375">
      <w:pPr>
        <w:rPr>
          <w:rFonts w:ascii="Times New Roman" w:hAnsi="Times New Roman" w:cs="Times New Roman"/>
          <w:sz w:val="24"/>
          <w:szCs w:val="24"/>
          <w:lang w:val="en-GB"/>
        </w:rPr>
      </w:pPr>
      <w:r w:rsidRPr="00060E7A">
        <w:rPr>
          <w:rFonts w:ascii="Times New Roman" w:hAnsi="Times New Roman" w:cs="Times New Roman"/>
          <w:sz w:val="24"/>
          <w:szCs w:val="24"/>
          <w:lang w:val="en-GB"/>
        </w:rPr>
        <w:t>As revealed by the following table on attitudes towards specific welfare issues, there has been a very significant decline in the willingness to pay for foreign aid and for support for refugees and immigrants during the crisis. Not to entirely unprecedented levels, but certainly a significant decline since 2007.</w:t>
      </w:r>
    </w:p>
    <w:p w:rsidR="00A81215" w:rsidRPr="00060E7A" w:rsidRDefault="00F86375" w:rsidP="00F86375">
      <w:pPr>
        <w:rPr>
          <w:rFonts w:ascii="Times New Roman" w:hAnsi="Times New Roman" w:cs="Times New Roman"/>
          <w:sz w:val="24"/>
          <w:szCs w:val="24"/>
          <w:lang w:val="en-GB"/>
        </w:rPr>
      </w:pPr>
      <w:r w:rsidRPr="00060E7A">
        <w:rPr>
          <w:rFonts w:ascii="Times New Roman" w:hAnsi="Times New Roman" w:cs="Times New Roman"/>
          <w:sz w:val="24"/>
          <w:szCs w:val="24"/>
          <w:lang w:val="en-GB"/>
        </w:rPr>
        <w:t>On the other hand, we find no decline in demand for “social investment” expenditures like kindergartens and education.</w:t>
      </w:r>
    </w:p>
    <w:p w:rsidR="009C0C45" w:rsidRPr="00060E7A" w:rsidRDefault="009C0C45" w:rsidP="00565387">
      <w:pPr>
        <w:widowControl w:val="0"/>
        <w:spacing w:after="0" w:line="240" w:lineRule="auto"/>
        <w:rPr>
          <w:rFonts w:ascii="Times New Roman" w:hAnsi="Times New Roman" w:cs="Times New Roman"/>
          <w:b/>
          <w:bCs/>
          <w:iCs/>
          <w:sz w:val="24"/>
          <w:szCs w:val="24"/>
          <w:lang w:val="en-GB"/>
        </w:rPr>
      </w:pPr>
      <w:r w:rsidRPr="00060E7A">
        <w:rPr>
          <w:rFonts w:ascii="Times New Roman" w:hAnsi="Times New Roman" w:cs="Times New Roman"/>
          <w:b/>
          <w:bCs/>
          <w:iCs/>
          <w:sz w:val="24"/>
          <w:szCs w:val="24"/>
          <w:lang w:val="en-GB"/>
        </w:rPr>
        <w:t xml:space="preserve">Table </w:t>
      </w:r>
      <w:r w:rsidR="00565387" w:rsidRPr="00060E7A">
        <w:rPr>
          <w:rFonts w:ascii="Times New Roman" w:hAnsi="Times New Roman" w:cs="Times New Roman"/>
          <w:b/>
          <w:bCs/>
          <w:iCs/>
          <w:sz w:val="24"/>
          <w:szCs w:val="24"/>
          <w:lang w:val="en-GB"/>
        </w:rPr>
        <w:t>5</w:t>
      </w:r>
      <w:r w:rsidRPr="00060E7A">
        <w:rPr>
          <w:rFonts w:ascii="Times New Roman" w:hAnsi="Times New Roman" w:cs="Times New Roman"/>
          <w:b/>
          <w:bCs/>
          <w:iCs/>
          <w:sz w:val="24"/>
          <w:szCs w:val="24"/>
          <w:lang w:val="en-GB"/>
        </w:rPr>
        <w:t>. Attitudes towards welfare spending, 1979-2015. Balance of opinion (percentage points)</w:t>
      </w:r>
      <w:r w:rsidR="001142D6" w:rsidRPr="00060E7A">
        <w:rPr>
          <w:rFonts w:ascii="Times New Roman" w:hAnsi="Times New Roman" w:cs="Times New Roman"/>
          <w:b/>
          <w:bCs/>
          <w:iCs/>
          <w:sz w:val="24"/>
          <w:szCs w:val="24"/>
          <w:lang w:val="en-GB"/>
        </w:rPr>
        <w:t>.</w:t>
      </w:r>
    </w:p>
    <w:tbl>
      <w:tblPr>
        <w:tblW w:w="8931" w:type="dxa"/>
        <w:tblInd w:w="122" w:type="dxa"/>
        <w:tblLayout w:type="fixed"/>
        <w:tblCellMar>
          <w:left w:w="122" w:type="dxa"/>
          <w:right w:w="122" w:type="dxa"/>
        </w:tblCellMar>
        <w:tblLook w:val="0000" w:firstRow="0" w:lastRow="0" w:firstColumn="0" w:lastColumn="0" w:noHBand="0" w:noVBand="0"/>
      </w:tblPr>
      <w:tblGrid>
        <w:gridCol w:w="1701"/>
        <w:gridCol w:w="567"/>
        <w:gridCol w:w="567"/>
        <w:gridCol w:w="567"/>
        <w:gridCol w:w="567"/>
        <w:gridCol w:w="567"/>
        <w:gridCol w:w="567"/>
        <w:gridCol w:w="567"/>
        <w:gridCol w:w="567"/>
        <w:gridCol w:w="567"/>
        <w:gridCol w:w="567"/>
        <w:gridCol w:w="567"/>
        <w:gridCol w:w="993"/>
      </w:tblGrid>
      <w:tr w:rsidR="009C0C45" w:rsidRPr="00060E7A" w:rsidTr="009C0C45">
        <w:trPr>
          <w:cantSplit/>
        </w:trPr>
        <w:tc>
          <w:tcPr>
            <w:tcW w:w="1701"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rPr>
                <w:sz w:val="18"/>
                <w:lang w:val="en-GB"/>
              </w:rPr>
            </w:pPr>
          </w:p>
        </w:tc>
        <w:tc>
          <w:tcPr>
            <w:tcW w:w="6237" w:type="dxa"/>
            <w:gridSpan w:val="11"/>
            <w:tcBorders>
              <w:top w:val="single" w:sz="5" w:space="0" w:color="000000"/>
              <w:left w:val="single" w:sz="5" w:space="0" w:color="000000"/>
              <w:bottom w:val="single" w:sz="5" w:space="0" w:color="000000"/>
              <w:right w:val="single" w:sz="5" w:space="0" w:color="000000"/>
            </w:tcBorders>
            <w:vAlign w:val="center"/>
          </w:tcPr>
          <w:p w:rsidR="009C0C45" w:rsidRPr="00060E7A" w:rsidRDefault="009C0C45" w:rsidP="009C0C45">
            <w:pPr>
              <w:widowControl w:val="0"/>
              <w:spacing w:after="0" w:line="240" w:lineRule="auto"/>
              <w:jc w:val="center"/>
              <w:rPr>
                <w:sz w:val="18"/>
                <w:lang w:val="en-GB"/>
              </w:rPr>
            </w:pPr>
            <w:r w:rsidRPr="00060E7A">
              <w:rPr>
                <w:sz w:val="18"/>
                <w:lang w:val="en-GB"/>
              </w:rPr>
              <w:t>Balance of opinion: Spend more minus spend less</w:t>
            </w:r>
          </w:p>
        </w:tc>
        <w:tc>
          <w:tcPr>
            <w:tcW w:w="993"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2015</w:t>
            </w:r>
          </w:p>
          <w:p w:rsidR="009C0C45" w:rsidRPr="00060E7A" w:rsidRDefault="009C0C45" w:rsidP="009C0C45">
            <w:pPr>
              <w:widowControl w:val="0"/>
              <w:spacing w:after="0" w:line="240" w:lineRule="auto"/>
              <w:jc w:val="center"/>
              <w:rPr>
                <w:sz w:val="18"/>
                <w:lang w:val="en-GB"/>
              </w:rPr>
            </w:pPr>
            <w:r w:rsidRPr="00060E7A">
              <w:rPr>
                <w:sz w:val="18"/>
                <w:lang w:val="en-GB"/>
              </w:rPr>
              <w:t>YouGov*)</w:t>
            </w:r>
          </w:p>
        </w:tc>
      </w:tr>
      <w:tr w:rsidR="009C0C45" w:rsidRPr="00060E7A" w:rsidTr="009C0C45">
        <w:trPr>
          <w:cantSplit/>
        </w:trPr>
        <w:tc>
          <w:tcPr>
            <w:tcW w:w="1701"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rPr>
                <w:sz w:val="18"/>
                <w:lang w:val="en-GB"/>
              </w:rPr>
            </w:pP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79</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85</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90</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94</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98</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00</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01</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03</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05</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07</w:t>
            </w:r>
          </w:p>
        </w:tc>
        <w:tc>
          <w:tcPr>
            <w:tcW w:w="567"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11</w:t>
            </w:r>
          </w:p>
        </w:tc>
        <w:tc>
          <w:tcPr>
            <w:tcW w:w="993" w:type="dxa"/>
            <w:tcBorders>
              <w:top w:val="single" w:sz="5" w:space="0" w:color="000000"/>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2015</w:t>
            </w:r>
          </w:p>
        </w:tc>
      </w:tr>
      <w:tr w:rsidR="009C0C45" w:rsidRPr="00060E7A" w:rsidTr="009C0C45">
        <w:trPr>
          <w:cantSplit/>
        </w:trPr>
        <w:tc>
          <w:tcPr>
            <w:tcW w:w="1701" w:type="dxa"/>
            <w:tcBorders>
              <w:top w:val="single" w:sz="5" w:space="0" w:color="000000"/>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Defence</w:t>
            </w:r>
          </w:p>
        </w:tc>
        <w:tc>
          <w:tcPr>
            <w:tcW w:w="567" w:type="dxa"/>
            <w:tcBorders>
              <w:top w:val="single" w:sz="5" w:space="0" w:color="000000"/>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-45</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-35</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-35</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-35</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-19</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-27</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-37</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-50</w:t>
            </w:r>
          </w:p>
        </w:tc>
        <w:tc>
          <w:tcPr>
            <w:tcW w:w="993" w:type="dxa"/>
            <w:tcBorders>
              <w:top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-24</w:t>
            </w:r>
          </w:p>
        </w:tc>
      </w:tr>
      <w:tr w:rsidR="009C0C45" w:rsidRPr="00060E7A" w:rsidTr="009C0C45">
        <w:trPr>
          <w:cantSplit/>
        </w:trPr>
        <w:tc>
          <w:tcPr>
            <w:tcW w:w="1701" w:type="dxa"/>
            <w:tcBorders>
              <w:top w:val="single" w:sz="5" w:space="0" w:color="000000"/>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Health care</w:t>
            </w:r>
          </w:p>
        </w:tc>
        <w:tc>
          <w:tcPr>
            <w:tcW w:w="567" w:type="dxa"/>
            <w:tcBorders>
              <w:top w:val="single" w:sz="5" w:space="0" w:color="000000"/>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28</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61</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61</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73</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77</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75</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67</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49</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55</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76</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57</w:t>
            </w:r>
          </w:p>
        </w:tc>
        <w:tc>
          <w:tcPr>
            <w:tcW w:w="993" w:type="dxa"/>
            <w:tcBorders>
              <w:top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+71</w:t>
            </w:r>
          </w:p>
        </w:tc>
      </w:tr>
      <w:tr w:rsidR="009C0C45" w:rsidRPr="00060E7A" w:rsidTr="009C0C45">
        <w:trPr>
          <w:cantSplit/>
        </w:trPr>
        <w:tc>
          <w:tcPr>
            <w:tcW w:w="1701" w:type="dxa"/>
            <w:tcBorders>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Home help care</w:t>
            </w:r>
          </w:p>
        </w:tc>
        <w:tc>
          <w:tcPr>
            <w:tcW w:w="567" w:type="dxa"/>
            <w:tcBorders>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73</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69</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70</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69</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61</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70</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71</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70</w:t>
            </w:r>
          </w:p>
        </w:tc>
        <w:tc>
          <w:tcPr>
            <w:tcW w:w="993" w:type="dxa"/>
            <w:tcBorders>
              <w:right w:val="single" w:sz="5" w:space="0" w:color="000000"/>
            </w:tcBorders>
          </w:tcPr>
          <w:p w:rsidR="009C0C45" w:rsidRPr="00060E7A" w:rsidRDefault="009C0C45" w:rsidP="009C0C45">
            <w:pPr>
              <w:widowControl w:val="0"/>
              <w:spacing w:after="0" w:line="240" w:lineRule="auto"/>
              <w:jc w:val="center"/>
              <w:rPr>
                <w:sz w:val="18"/>
                <w:lang w:val="en-GB"/>
              </w:rPr>
            </w:pPr>
          </w:p>
        </w:tc>
      </w:tr>
      <w:tr w:rsidR="009C0C45" w:rsidRPr="00060E7A" w:rsidTr="009C0C45">
        <w:trPr>
          <w:cantSplit/>
        </w:trPr>
        <w:tc>
          <w:tcPr>
            <w:tcW w:w="1701" w:type="dxa"/>
            <w:tcBorders>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State pension</w:t>
            </w:r>
          </w:p>
        </w:tc>
        <w:tc>
          <w:tcPr>
            <w:tcW w:w="567" w:type="dxa"/>
            <w:tcBorders>
              <w:left w:val="single" w:sz="5" w:space="0" w:color="000000"/>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56</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64</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57</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51</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42</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58</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46</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38</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41</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49</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36</w:t>
            </w:r>
          </w:p>
        </w:tc>
        <w:tc>
          <w:tcPr>
            <w:tcW w:w="993" w:type="dxa"/>
            <w:tcBorders>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p>
        </w:tc>
      </w:tr>
      <w:tr w:rsidR="009C0C45" w:rsidRPr="00060E7A" w:rsidTr="009C0C45">
        <w:trPr>
          <w:cantSplit/>
        </w:trPr>
        <w:tc>
          <w:tcPr>
            <w:tcW w:w="1701" w:type="dxa"/>
            <w:tcBorders>
              <w:top w:val="single" w:sz="5" w:space="0" w:color="000000"/>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Education</w:t>
            </w:r>
          </w:p>
        </w:tc>
        <w:tc>
          <w:tcPr>
            <w:tcW w:w="567" w:type="dxa"/>
            <w:tcBorders>
              <w:top w:val="single" w:sz="5" w:space="0" w:color="000000"/>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22</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44</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45</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42</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39</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50</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46</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46</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65</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57</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64</w:t>
            </w:r>
          </w:p>
        </w:tc>
        <w:tc>
          <w:tcPr>
            <w:tcW w:w="993" w:type="dxa"/>
            <w:tcBorders>
              <w:top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p>
        </w:tc>
      </w:tr>
      <w:tr w:rsidR="009C0C45" w:rsidRPr="00060E7A" w:rsidTr="009C0C45">
        <w:trPr>
          <w:cantSplit/>
        </w:trPr>
        <w:tc>
          <w:tcPr>
            <w:tcW w:w="1701" w:type="dxa"/>
            <w:tcBorders>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Kindergartens</w:t>
            </w:r>
          </w:p>
        </w:tc>
        <w:tc>
          <w:tcPr>
            <w:tcW w:w="567" w:type="dxa"/>
            <w:tcBorders>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20</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24</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29</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32</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36</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42</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33</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54</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59</w:t>
            </w:r>
          </w:p>
        </w:tc>
        <w:tc>
          <w:tcPr>
            <w:tcW w:w="993" w:type="dxa"/>
            <w:tcBorders>
              <w:right w:val="single" w:sz="5" w:space="0" w:color="000000"/>
            </w:tcBorders>
          </w:tcPr>
          <w:p w:rsidR="009C0C45" w:rsidRPr="00060E7A" w:rsidRDefault="009C0C45" w:rsidP="009C0C45">
            <w:pPr>
              <w:widowControl w:val="0"/>
              <w:spacing w:after="0" w:line="240" w:lineRule="auto"/>
              <w:jc w:val="center"/>
              <w:rPr>
                <w:sz w:val="18"/>
                <w:lang w:val="en-GB"/>
              </w:rPr>
            </w:pPr>
          </w:p>
        </w:tc>
      </w:tr>
      <w:tr w:rsidR="009C0C45" w:rsidRPr="00060E7A" w:rsidTr="009C0C45">
        <w:trPr>
          <w:cantSplit/>
        </w:trPr>
        <w:tc>
          <w:tcPr>
            <w:tcW w:w="1701" w:type="dxa"/>
            <w:tcBorders>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Unempl.Benefits (level)</w:t>
            </w:r>
          </w:p>
        </w:tc>
        <w:tc>
          <w:tcPr>
            <w:tcW w:w="567" w:type="dxa"/>
            <w:tcBorders>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-42</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17</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2</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0</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-7</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5</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-1</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10</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14</w:t>
            </w:r>
          </w:p>
        </w:tc>
        <w:tc>
          <w:tcPr>
            <w:tcW w:w="993" w:type="dxa"/>
            <w:tcBorders>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+10</w:t>
            </w:r>
          </w:p>
        </w:tc>
      </w:tr>
      <w:tr w:rsidR="009C0C45" w:rsidRPr="00060E7A" w:rsidTr="009C0C45">
        <w:trPr>
          <w:cantSplit/>
        </w:trPr>
        <w:tc>
          <w:tcPr>
            <w:tcW w:w="1701" w:type="dxa"/>
            <w:tcBorders>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Social Assistance (level)</w:t>
            </w:r>
          </w:p>
        </w:tc>
        <w:tc>
          <w:tcPr>
            <w:tcW w:w="567" w:type="dxa"/>
            <w:tcBorders>
              <w:left w:val="single" w:sz="5" w:space="0" w:color="000000"/>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+30</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-11</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-11</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-19</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-8</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-13</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8</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w:t>
            </w:r>
          </w:p>
        </w:tc>
        <w:tc>
          <w:tcPr>
            <w:tcW w:w="993" w:type="dxa"/>
            <w:tcBorders>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-3</w:t>
            </w:r>
          </w:p>
        </w:tc>
      </w:tr>
      <w:tr w:rsidR="009C0C45" w:rsidRPr="00060E7A" w:rsidTr="009C0C45">
        <w:trPr>
          <w:cantSplit/>
        </w:trPr>
        <w:tc>
          <w:tcPr>
            <w:tcW w:w="1701" w:type="dxa"/>
            <w:tcBorders>
              <w:top w:val="single" w:sz="5" w:space="0" w:color="000000"/>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Cultural purposes</w:t>
            </w:r>
          </w:p>
        </w:tc>
        <w:tc>
          <w:tcPr>
            <w:tcW w:w="567" w:type="dxa"/>
            <w:tcBorders>
              <w:top w:val="single" w:sz="5" w:space="0" w:color="000000"/>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-30</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-12</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-19</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-34</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-39</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-34</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-32</w:t>
            </w:r>
          </w:p>
        </w:tc>
        <w:tc>
          <w:tcPr>
            <w:tcW w:w="567" w:type="dxa"/>
            <w:tcBorders>
              <w:top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-21</w:t>
            </w:r>
          </w:p>
        </w:tc>
        <w:tc>
          <w:tcPr>
            <w:tcW w:w="567" w:type="dxa"/>
            <w:tcBorders>
              <w:top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-34</w:t>
            </w:r>
          </w:p>
        </w:tc>
        <w:tc>
          <w:tcPr>
            <w:tcW w:w="993" w:type="dxa"/>
            <w:tcBorders>
              <w:top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p>
        </w:tc>
      </w:tr>
      <w:tr w:rsidR="009C0C45" w:rsidRPr="00060E7A" w:rsidTr="009C0C45">
        <w:trPr>
          <w:cantSplit/>
        </w:trPr>
        <w:tc>
          <w:tcPr>
            <w:tcW w:w="1701" w:type="dxa"/>
            <w:tcBorders>
              <w:left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Foreign aid</w:t>
            </w:r>
          </w:p>
        </w:tc>
        <w:tc>
          <w:tcPr>
            <w:tcW w:w="567" w:type="dxa"/>
            <w:tcBorders>
              <w:lef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-26</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-35</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-40</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-32</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-32</w:t>
            </w:r>
          </w:p>
        </w:tc>
        <w:tc>
          <w:tcPr>
            <w:tcW w:w="567" w:type="dxa"/>
          </w:tcPr>
          <w:p w:rsidR="009C0C45" w:rsidRPr="00060E7A" w:rsidRDefault="009C0C45" w:rsidP="009C0C45">
            <w:pPr>
              <w:widowControl w:val="0"/>
              <w:spacing w:after="0" w:line="240" w:lineRule="auto"/>
              <w:jc w:val="right"/>
              <w:rPr>
                <w:sz w:val="18"/>
                <w:lang w:val="en-GB"/>
              </w:rPr>
            </w:pPr>
            <w:r w:rsidRPr="00060E7A">
              <w:rPr>
                <w:sz w:val="18"/>
                <w:lang w:val="en-GB"/>
              </w:rPr>
              <w:t>-12</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5</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-7</w:t>
            </w:r>
          </w:p>
        </w:tc>
        <w:tc>
          <w:tcPr>
            <w:tcW w:w="567" w:type="dxa"/>
            <w:tcBorders>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-22</w:t>
            </w:r>
          </w:p>
        </w:tc>
        <w:tc>
          <w:tcPr>
            <w:tcW w:w="993" w:type="dxa"/>
            <w:tcBorders>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-27</w:t>
            </w:r>
          </w:p>
        </w:tc>
      </w:tr>
      <w:tr w:rsidR="009C0C45" w:rsidRPr="00060E7A" w:rsidTr="009C0C45">
        <w:trPr>
          <w:cantSplit/>
        </w:trPr>
        <w:tc>
          <w:tcPr>
            <w:tcW w:w="1701" w:type="dxa"/>
            <w:tcBorders>
              <w:left w:val="single" w:sz="5" w:space="0" w:color="000000"/>
              <w:bottom w:val="single" w:sz="5" w:space="0" w:color="000000"/>
              <w:right w:val="single" w:sz="5" w:space="0" w:color="000000"/>
            </w:tcBorders>
          </w:tcPr>
          <w:p w:rsidR="009C0C45" w:rsidRPr="00060E7A" w:rsidRDefault="009C0C45" w:rsidP="009C0C45">
            <w:pPr>
              <w:widowControl w:val="0"/>
              <w:spacing w:after="0" w:line="240" w:lineRule="auto"/>
              <w:rPr>
                <w:sz w:val="18"/>
                <w:lang w:val="en-GB"/>
              </w:rPr>
            </w:pPr>
            <w:r w:rsidRPr="00060E7A">
              <w:rPr>
                <w:sz w:val="18"/>
                <w:lang w:val="en-GB"/>
              </w:rPr>
              <w:t>Refugees and immigrants.</w:t>
            </w:r>
          </w:p>
        </w:tc>
        <w:tc>
          <w:tcPr>
            <w:tcW w:w="567" w:type="dxa"/>
            <w:tcBorders>
              <w:left w:val="single" w:sz="5" w:space="0" w:color="000000"/>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-30</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-35</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-41</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-33</w:t>
            </w:r>
          </w:p>
        </w:tc>
        <w:tc>
          <w:tcPr>
            <w:tcW w:w="567" w:type="dxa"/>
            <w:tcBorders>
              <w:bottom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-13</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-2</w:t>
            </w:r>
          </w:p>
        </w:tc>
        <w:tc>
          <w:tcPr>
            <w:tcW w:w="567" w:type="dxa"/>
            <w:tcBorders>
              <w:bottom w:val="single" w:sz="5" w:space="0" w:color="000000"/>
              <w:right w:val="single" w:sz="5" w:space="0" w:color="000000"/>
            </w:tcBorders>
          </w:tcPr>
          <w:p w:rsidR="009C0C45" w:rsidRPr="00060E7A" w:rsidRDefault="009C0C45" w:rsidP="009C0C45">
            <w:pPr>
              <w:widowControl w:val="0"/>
              <w:spacing w:after="0" w:line="240" w:lineRule="auto"/>
              <w:jc w:val="right"/>
              <w:rPr>
                <w:sz w:val="18"/>
                <w:lang w:val="en-GB"/>
              </w:rPr>
            </w:pPr>
            <w:r w:rsidRPr="00060E7A">
              <w:rPr>
                <w:sz w:val="18"/>
                <w:lang w:val="en-GB"/>
              </w:rPr>
              <w:t>-16</w:t>
            </w:r>
          </w:p>
        </w:tc>
        <w:tc>
          <w:tcPr>
            <w:tcW w:w="993" w:type="dxa"/>
            <w:tcBorders>
              <w:bottom w:val="single" w:sz="5" w:space="0" w:color="000000"/>
              <w:right w:val="single" w:sz="5" w:space="0" w:color="000000"/>
            </w:tcBorders>
          </w:tcPr>
          <w:p w:rsidR="009C0C45" w:rsidRPr="00060E7A" w:rsidRDefault="009C0C45" w:rsidP="009C0C45">
            <w:pPr>
              <w:widowControl w:val="0"/>
              <w:spacing w:after="0" w:line="240" w:lineRule="auto"/>
              <w:jc w:val="center"/>
              <w:rPr>
                <w:sz w:val="18"/>
                <w:lang w:val="en-GB"/>
              </w:rPr>
            </w:pPr>
            <w:r w:rsidRPr="00060E7A">
              <w:rPr>
                <w:sz w:val="18"/>
                <w:lang w:val="en-GB"/>
              </w:rPr>
              <w:t>-20</w:t>
            </w:r>
          </w:p>
        </w:tc>
      </w:tr>
    </w:tbl>
    <w:p w:rsidR="009C0C45" w:rsidRPr="00060E7A" w:rsidRDefault="009C0C45" w:rsidP="009C0C45">
      <w:pPr>
        <w:widowControl w:val="0"/>
        <w:spacing w:after="0" w:line="240" w:lineRule="auto"/>
        <w:ind w:left="720" w:hanging="720"/>
        <w:rPr>
          <w:rFonts w:ascii="Times New Roman" w:hAnsi="Times New Roman" w:cs="Times New Roman"/>
          <w:sz w:val="20"/>
          <w:szCs w:val="20"/>
          <w:lang w:val="en-GB"/>
        </w:rPr>
      </w:pPr>
      <w:r w:rsidRPr="00060E7A">
        <w:rPr>
          <w:rFonts w:ascii="Times New Roman" w:hAnsi="Times New Roman" w:cs="Times New Roman"/>
          <w:sz w:val="20"/>
          <w:szCs w:val="20"/>
          <w:lang w:val="en-GB"/>
        </w:rPr>
        <w:t>Wording</w:t>
      </w:r>
      <w:r w:rsidRPr="00060E7A">
        <w:rPr>
          <w:rFonts w:ascii="Times New Roman" w:hAnsi="Times New Roman" w:cs="Times New Roman"/>
          <w:sz w:val="20"/>
          <w:szCs w:val="20"/>
          <w:lang w:val="en-GB"/>
        </w:rPr>
        <w:tab/>
        <w:t xml:space="preserve"> “Now, I’ll ask about your view on public expenditures for various purposes. I should like to ask whether you think government spends 1) too much, 2) appropriate, or 3) too little money on these tasks.”</w:t>
      </w:r>
    </w:p>
    <w:p w:rsidR="009C0C45" w:rsidRPr="00060E7A" w:rsidRDefault="009C0C45" w:rsidP="009C0C45">
      <w:pPr>
        <w:widowControl w:val="0"/>
        <w:spacing w:after="0" w:line="240" w:lineRule="auto"/>
        <w:ind w:left="720" w:hanging="720"/>
        <w:rPr>
          <w:rFonts w:ascii="Times New Roman" w:hAnsi="Times New Roman" w:cs="Times New Roman"/>
          <w:sz w:val="20"/>
          <w:szCs w:val="20"/>
          <w:lang w:val="en-GB"/>
        </w:rPr>
      </w:pPr>
      <w:r w:rsidRPr="00060E7A">
        <w:rPr>
          <w:rFonts w:ascii="Times New Roman" w:hAnsi="Times New Roman" w:cs="Times New Roman"/>
          <w:sz w:val="20"/>
          <w:szCs w:val="20"/>
          <w:lang w:val="en-GB"/>
        </w:rPr>
        <w:t>YouGov is based on web panels. As this has a small selection bias in favour of political distrust and savings for foreign aid and refugees, we have eliminated this bias by comparing two identical YouGov samples of 18-65 years old in 2011 and 2015. Subsequently, this observed difference between the two YouGov surveys og 2011 and 2015 is added to the balance of opinion in (the election surveys) of 2011. This provides less dramatic, but probably realistic figures on the change from 2011 to 2015 (The “true” figures for YouGov respondents in 2015 are -29 as regards defence, +68 as regards health care, +11 for unemployment benefits, -11 for social assistance, -45 for foreign aid, and -42 for refugees and immigrants. It is the last mentioned three figures that are probably exaggerated by some selection effect in the web panel.</w:t>
      </w:r>
    </w:p>
    <w:p w:rsidR="009C0C45" w:rsidRPr="00060E7A" w:rsidRDefault="009C0C45">
      <w:pPr>
        <w:rPr>
          <w:rFonts w:ascii="Times New Roman" w:hAnsi="Times New Roman" w:cs="Times New Roman"/>
          <w:sz w:val="24"/>
          <w:szCs w:val="24"/>
          <w:lang w:val="en-GB"/>
        </w:rPr>
      </w:pPr>
      <w:r w:rsidRPr="00060E7A">
        <w:rPr>
          <w:rFonts w:ascii="Times New Roman" w:hAnsi="Times New Roman" w:cs="Times New Roman"/>
          <w:sz w:val="24"/>
          <w:szCs w:val="24"/>
          <w:lang w:val="en-GB"/>
        </w:rPr>
        <w:br w:type="page"/>
      </w:r>
    </w:p>
    <w:p w:rsidR="000115D9" w:rsidRPr="00060E7A" w:rsidRDefault="009C3E8B" w:rsidP="009C3E8B">
      <w:pPr>
        <w:pStyle w:val="Heading1"/>
        <w:rPr>
          <w:lang w:val="en-GB"/>
        </w:rPr>
      </w:pPr>
      <w:bookmarkStart w:id="13" w:name="_Toc427117818"/>
      <w:r w:rsidRPr="00060E7A">
        <w:rPr>
          <w:lang w:val="en-GB"/>
        </w:rPr>
        <w:t xml:space="preserve">6. </w:t>
      </w:r>
      <w:r w:rsidR="000115D9" w:rsidRPr="00060E7A">
        <w:rPr>
          <w:lang w:val="en-GB"/>
        </w:rPr>
        <w:t>Future perspectives</w:t>
      </w:r>
      <w:bookmarkEnd w:id="13"/>
    </w:p>
    <w:p w:rsidR="009C3E8B" w:rsidRPr="00060E7A" w:rsidRDefault="009C3E8B" w:rsidP="00D95423">
      <w:pPr>
        <w:rPr>
          <w:rFonts w:ascii="Times New Roman" w:hAnsi="Times New Roman" w:cs="Times New Roman"/>
          <w:sz w:val="24"/>
          <w:szCs w:val="24"/>
          <w:lang w:val="en-GB"/>
        </w:rPr>
      </w:pPr>
    </w:p>
    <w:p w:rsidR="000115D9" w:rsidRPr="00060E7A" w:rsidRDefault="009C3E8B" w:rsidP="009C3E8B">
      <w:pPr>
        <w:rPr>
          <w:rFonts w:ascii="Times New Roman" w:hAnsi="Times New Roman" w:cs="Times New Roman"/>
          <w:sz w:val="24"/>
          <w:szCs w:val="24"/>
          <w:lang w:val="en-GB"/>
        </w:rPr>
      </w:pPr>
      <w:r w:rsidRPr="00060E7A">
        <w:rPr>
          <w:rFonts w:ascii="Times New Roman" w:hAnsi="Times New Roman" w:cs="Times New Roman"/>
          <w:sz w:val="24"/>
          <w:szCs w:val="24"/>
          <w:lang w:val="en-GB"/>
        </w:rPr>
        <w:t>Economic c</w:t>
      </w:r>
      <w:r w:rsidR="000115D9" w:rsidRPr="00060E7A">
        <w:rPr>
          <w:rFonts w:ascii="Times New Roman" w:hAnsi="Times New Roman" w:cs="Times New Roman"/>
          <w:sz w:val="24"/>
          <w:szCs w:val="24"/>
          <w:lang w:val="en-GB"/>
        </w:rPr>
        <w:t xml:space="preserve">hallenges </w:t>
      </w:r>
      <w:r w:rsidRPr="00060E7A">
        <w:rPr>
          <w:rFonts w:ascii="Times New Roman" w:hAnsi="Times New Roman" w:cs="Times New Roman"/>
          <w:sz w:val="24"/>
          <w:szCs w:val="24"/>
          <w:lang w:val="en-GB"/>
        </w:rPr>
        <w:t xml:space="preserve">to the Danish welfare state </w:t>
      </w:r>
      <w:r w:rsidR="000115D9" w:rsidRPr="00060E7A">
        <w:rPr>
          <w:rFonts w:ascii="Times New Roman" w:hAnsi="Times New Roman" w:cs="Times New Roman"/>
          <w:sz w:val="24"/>
          <w:szCs w:val="24"/>
          <w:lang w:val="en-GB"/>
        </w:rPr>
        <w:t xml:space="preserve">are few. </w:t>
      </w:r>
      <w:r w:rsidRPr="00060E7A">
        <w:rPr>
          <w:rFonts w:ascii="Times New Roman" w:hAnsi="Times New Roman" w:cs="Times New Roman"/>
          <w:sz w:val="24"/>
          <w:szCs w:val="24"/>
          <w:lang w:val="en-GB"/>
        </w:rPr>
        <w:t xml:space="preserve">The financing of ageing is secured – without cutbacks or tax increase – in the long run, </w:t>
      </w:r>
      <w:r w:rsidR="000115D9" w:rsidRPr="00060E7A">
        <w:rPr>
          <w:rFonts w:ascii="Times New Roman" w:hAnsi="Times New Roman" w:cs="Times New Roman"/>
          <w:sz w:val="24"/>
          <w:szCs w:val="24"/>
          <w:lang w:val="en-GB"/>
        </w:rPr>
        <w:t xml:space="preserve">apart from a </w:t>
      </w:r>
      <w:r w:rsidRPr="00060E7A">
        <w:rPr>
          <w:rFonts w:ascii="Times New Roman" w:hAnsi="Times New Roman" w:cs="Times New Roman"/>
          <w:sz w:val="24"/>
          <w:szCs w:val="24"/>
          <w:lang w:val="en-GB"/>
        </w:rPr>
        <w:t xml:space="preserve">short-term </w:t>
      </w:r>
      <w:r w:rsidR="000115D9" w:rsidRPr="00060E7A">
        <w:rPr>
          <w:rFonts w:ascii="Times New Roman" w:hAnsi="Times New Roman" w:cs="Times New Roman"/>
          <w:sz w:val="24"/>
          <w:szCs w:val="24"/>
          <w:lang w:val="en-GB"/>
        </w:rPr>
        <w:t>“hammock effect</w:t>
      </w:r>
      <w:r w:rsidRPr="00060E7A">
        <w:rPr>
          <w:rFonts w:ascii="Times New Roman" w:hAnsi="Times New Roman" w:cs="Times New Roman"/>
          <w:sz w:val="24"/>
          <w:szCs w:val="24"/>
          <w:lang w:val="en-GB"/>
        </w:rPr>
        <w:t>” from the 2020s till the 2050s (possible 2060s), mainly reflecting the ageing of the large birth cohorts in the 1940s, 1950s and 1960s, and the maturation of the pension system.</w:t>
      </w:r>
    </w:p>
    <w:p w:rsidR="000115D9" w:rsidRPr="00060E7A" w:rsidRDefault="000115D9" w:rsidP="009C3E8B">
      <w:pPr>
        <w:rPr>
          <w:rFonts w:ascii="Times New Roman" w:hAnsi="Times New Roman" w:cs="Times New Roman"/>
          <w:sz w:val="24"/>
          <w:szCs w:val="24"/>
          <w:lang w:val="en-GB"/>
        </w:rPr>
      </w:pPr>
      <w:r w:rsidRPr="00060E7A">
        <w:rPr>
          <w:rFonts w:ascii="Times New Roman" w:hAnsi="Times New Roman" w:cs="Times New Roman"/>
          <w:sz w:val="24"/>
          <w:szCs w:val="24"/>
          <w:lang w:val="en-GB"/>
        </w:rPr>
        <w:t>As regards globalization, this is really nothing new</w:t>
      </w:r>
      <w:r w:rsidR="00272C0A">
        <w:rPr>
          <w:rFonts w:ascii="Times New Roman" w:hAnsi="Times New Roman" w:cs="Times New Roman"/>
          <w:sz w:val="24"/>
          <w:szCs w:val="24"/>
          <w:lang w:val="en-GB"/>
        </w:rPr>
        <w:t>.</w:t>
      </w:r>
      <w:r w:rsidR="009C3E8B" w:rsidRPr="00060E7A">
        <w:rPr>
          <w:rFonts w:ascii="Times New Roman" w:hAnsi="Times New Roman" w:cs="Times New Roman"/>
          <w:sz w:val="24"/>
          <w:szCs w:val="24"/>
          <w:lang w:val="en-GB"/>
        </w:rPr>
        <w:t xml:space="preserve"> G</w:t>
      </w:r>
      <w:r w:rsidRPr="00060E7A">
        <w:rPr>
          <w:rFonts w:ascii="Times New Roman" w:hAnsi="Times New Roman" w:cs="Times New Roman"/>
          <w:sz w:val="24"/>
          <w:szCs w:val="24"/>
          <w:lang w:val="en-GB"/>
        </w:rPr>
        <w:t xml:space="preserve">lobalization </w:t>
      </w:r>
      <w:r w:rsidR="009C3E8B" w:rsidRPr="00060E7A">
        <w:rPr>
          <w:rFonts w:ascii="Times New Roman" w:hAnsi="Times New Roman" w:cs="Times New Roman"/>
          <w:sz w:val="24"/>
          <w:szCs w:val="24"/>
          <w:lang w:val="en-GB"/>
        </w:rPr>
        <w:t xml:space="preserve">has always been a challenge to </w:t>
      </w:r>
      <w:r w:rsidR="00272C0A">
        <w:rPr>
          <w:rFonts w:ascii="Times New Roman" w:hAnsi="Times New Roman" w:cs="Times New Roman"/>
          <w:sz w:val="24"/>
          <w:szCs w:val="24"/>
          <w:lang w:val="en-GB"/>
        </w:rPr>
        <w:t>a small, open economy</w:t>
      </w:r>
      <w:r w:rsidR="009C3E8B" w:rsidRPr="00060E7A">
        <w:rPr>
          <w:rFonts w:ascii="Times New Roman" w:hAnsi="Times New Roman" w:cs="Times New Roman"/>
          <w:sz w:val="24"/>
          <w:szCs w:val="24"/>
          <w:lang w:val="en-GB"/>
        </w:rPr>
        <w:t xml:space="preserve"> and Denmark has always favoured the highest possible liberalization of trade etc.</w:t>
      </w:r>
    </w:p>
    <w:p w:rsidR="00882359" w:rsidRPr="00060E7A" w:rsidRDefault="00120961" w:rsidP="00882359">
      <w:pPr>
        <w:rPr>
          <w:rFonts w:ascii="Times New Roman" w:hAnsi="Times New Roman" w:cs="Times New Roman"/>
          <w:sz w:val="24"/>
          <w:szCs w:val="24"/>
          <w:lang w:val="en-GB"/>
        </w:rPr>
      </w:pPr>
      <w:r w:rsidRPr="00060E7A">
        <w:rPr>
          <w:rFonts w:ascii="Times New Roman" w:hAnsi="Times New Roman" w:cs="Times New Roman"/>
          <w:sz w:val="24"/>
          <w:szCs w:val="24"/>
          <w:lang w:val="en-GB"/>
        </w:rPr>
        <w:t>What remains are political challenges. Including political chall</w:t>
      </w:r>
      <w:r w:rsidR="00882359" w:rsidRPr="00060E7A">
        <w:rPr>
          <w:rFonts w:ascii="Times New Roman" w:hAnsi="Times New Roman" w:cs="Times New Roman"/>
          <w:sz w:val="24"/>
          <w:szCs w:val="24"/>
          <w:lang w:val="en-GB"/>
        </w:rPr>
        <w:t xml:space="preserve">enges linked to immigration. </w:t>
      </w:r>
    </w:p>
    <w:p w:rsidR="00882359" w:rsidRPr="00060E7A" w:rsidRDefault="00882359" w:rsidP="002E2B7E">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As to the political challenges, </w:t>
      </w:r>
      <w:r w:rsidR="002E2B7E" w:rsidRPr="00060E7A">
        <w:rPr>
          <w:rFonts w:ascii="Times New Roman" w:hAnsi="Times New Roman" w:cs="Times New Roman"/>
          <w:sz w:val="24"/>
          <w:szCs w:val="24"/>
          <w:lang w:val="en-GB"/>
        </w:rPr>
        <w:t>the weakening of the unions is perhaps the most serious challenge. So far, e</w:t>
      </w:r>
      <w:r w:rsidRPr="00060E7A">
        <w:rPr>
          <w:rFonts w:ascii="Times New Roman" w:hAnsi="Times New Roman" w:cs="Times New Roman"/>
          <w:sz w:val="24"/>
          <w:szCs w:val="24"/>
          <w:lang w:val="en-GB"/>
        </w:rPr>
        <w:t xml:space="preserve">mployers </w:t>
      </w:r>
      <w:r w:rsidR="002E2B7E" w:rsidRPr="00060E7A">
        <w:rPr>
          <w:rFonts w:ascii="Times New Roman" w:hAnsi="Times New Roman" w:cs="Times New Roman"/>
          <w:sz w:val="24"/>
          <w:szCs w:val="24"/>
          <w:lang w:val="en-GB"/>
        </w:rPr>
        <w:t xml:space="preserve">have remained </w:t>
      </w:r>
      <w:r w:rsidRPr="00060E7A">
        <w:rPr>
          <w:rFonts w:ascii="Times New Roman" w:hAnsi="Times New Roman" w:cs="Times New Roman"/>
          <w:sz w:val="24"/>
          <w:szCs w:val="24"/>
          <w:lang w:val="en-GB"/>
        </w:rPr>
        <w:t>relatively satisfied with the institutionalized class compromise that has characterized Danish society for more than a century</w:t>
      </w:r>
      <w:r w:rsidR="002E2B7E" w:rsidRPr="00060E7A">
        <w:rPr>
          <w:rFonts w:ascii="Times New Roman" w:hAnsi="Times New Roman" w:cs="Times New Roman"/>
          <w:sz w:val="24"/>
          <w:szCs w:val="24"/>
          <w:lang w:val="en-GB"/>
        </w:rPr>
        <w:t xml:space="preserve">. But this could change, and one should not ignore </w:t>
      </w:r>
      <w:r w:rsidRPr="00060E7A">
        <w:rPr>
          <w:rFonts w:ascii="Times New Roman" w:hAnsi="Times New Roman" w:cs="Times New Roman"/>
          <w:sz w:val="24"/>
          <w:szCs w:val="24"/>
          <w:lang w:val="en-GB"/>
        </w:rPr>
        <w:t xml:space="preserve">the weakening of </w:t>
      </w:r>
      <w:r w:rsidR="002E2B7E" w:rsidRPr="00060E7A">
        <w:rPr>
          <w:rFonts w:ascii="Times New Roman" w:hAnsi="Times New Roman" w:cs="Times New Roman"/>
          <w:sz w:val="24"/>
          <w:szCs w:val="24"/>
          <w:lang w:val="en-GB"/>
        </w:rPr>
        <w:t>t</w:t>
      </w:r>
      <w:r w:rsidRPr="00060E7A">
        <w:rPr>
          <w:rFonts w:ascii="Times New Roman" w:hAnsi="Times New Roman" w:cs="Times New Roman"/>
          <w:sz w:val="24"/>
          <w:szCs w:val="24"/>
          <w:lang w:val="en-GB"/>
        </w:rPr>
        <w:t>rade union</w:t>
      </w:r>
      <w:r w:rsidR="002E2B7E" w:rsidRPr="00060E7A">
        <w:rPr>
          <w:rFonts w:ascii="Times New Roman" w:hAnsi="Times New Roman" w:cs="Times New Roman"/>
          <w:sz w:val="24"/>
          <w:szCs w:val="24"/>
          <w:lang w:val="en-GB"/>
        </w:rPr>
        <w:t xml:space="preserve"> power</w:t>
      </w:r>
      <w:r w:rsidRPr="00060E7A">
        <w:rPr>
          <w:rFonts w:ascii="Times New Roman" w:hAnsi="Times New Roman" w:cs="Times New Roman"/>
          <w:sz w:val="24"/>
          <w:szCs w:val="24"/>
          <w:lang w:val="en-GB"/>
        </w:rPr>
        <w:t>. No governments have so far found it strategically convenient to launch a frontal attack on the trade unions</w:t>
      </w:r>
      <w:r w:rsidR="002E2B7E" w:rsidRPr="00060E7A">
        <w:rPr>
          <w:rFonts w:ascii="Times New Roman" w:hAnsi="Times New Roman" w:cs="Times New Roman"/>
          <w:sz w:val="24"/>
          <w:szCs w:val="24"/>
          <w:lang w:val="en-GB"/>
        </w:rPr>
        <w:t xml:space="preserve"> (this would also be disastrous for the pension system)</w:t>
      </w:r>
      <w:r w:rsidRPr="00060E7A">
        <w:rPr>
          <w:rFonts w:ascii="Times New Roman" w:hAnsi="Times New Roman" w:cs="Times New Roman"/>
          <w:sz w:val="24"/>
          <w:szCs w:val="24"/>
          <w:lang w:val="en-GB"/>
        </w:rPr>
        <w:t>, but some governments couldn’t resist the temptation to undermine unions financially by reducing tax deduction for union fees (and contributions to unemployment insurance). It should be added, though, that some of these changes took place while a Social Democratic government was in office; it simply overlooked the fact that reducing the tax value of a particular category of tax deductions would make union membership much more expensive. At any rate, union membership rates are declining</w:t>
      </w:r>
      <w:r w:rsidR="00272C0A">
        <w:rPr>
          <w:rFonts w:ascii="Times New Roman" w:hAnsi="Times New Roman" w:cs="Times New Roman"/>
          <w:sz w:val="24"/>
          <w:szCs w:val="24"/>
          <w:lang w:val="en-GB"/>
        </w:rPr>
        <w:t xml:space="preserve">, </w:t>
      </w:r>
      <w:r w:rsidRPr="00060E7A">
        <w:rPr>
          <w:rFonts w:ascii="Times New Roman" w:hAnsi="Times New Roman" w:cs="Times New Roman"/>
          <w:sz w:val="24"/>
          <w:szCs w:val="24"/>
          <w:lang w:val="en-GB"/>
        </w:rPr>
        <w:t xml:space="preserve">especially </w:t>
      </w:r>
      <w:r w:rsidR="002E2B7E" w:rsidRPr="00060E7A">
        <w:rPr>
          <w:rFonts w:ascii="Times New Roman" w:hAnsi="Times New Roman" w:cs="Times New Roman"/>
          <w:sz w:val="24"/>
          <w:szCs w:val="24"/>
          <w:lang w:val="en-GB"/>
        </w:rPr>
        <w:t xml:space="preserve">among </w:t>
      </w:r>
      <w:r w:rsidRPr="00060E7A">
        <w:rPr>
          <w:rFonts w:ascii="Times New Roman" w:hAnsi="Times New Roman" w:cs="Times New Roman"/>
          <w:sz w:val="24"/>
          <w:szCs w:val="24"/>
          <w:lang w:val="en-GB"/>
        </w:rPr>
        <w:t>manual workers</w:t>
      </w:r>
      <w:r w:rsidR="002E2B7E" w:rsidRPr="00060E7A">
        <w:rPr>
          <w:rFonts w:ascii="Times New Roman" w:hAnsi="Times New Roman" w:cs="Times New Roman"/>
          <w:sz w:val="24"/>
          <w:szCs w:val="24"/>
          <w:lang w:val="en-GB"/>
        </w:rPr>
        <w:t>. Partly for financial reasons, but perhaps also because young people take minimum wages and other rights for granted and fail to recognize that in accordance with the “Danish model”, they typically rely on collective agreements, not on laws adopted in Parliament. Finally, a declining sense of working class solidarity, and rather negative feelings towards the unions among their own members may have contributed (ironically, unionism among white collars and professionals does not seem to be threatened at all).</w:t>
      </w:r>
    </w:p>
    <w:p w:rsidR="002E2B7E" w:rsidRPr="00060E7A" w:rsidRDefault="002E2B7E" w:rsidP="00277EDC">
      <w:pPr>
        <w:rPr>
          <w:rFonts w:ascii="Times New Roman" w:hAnsi="Times New Roman" w:cs="Times New Roman"/>
          <w:sz w:val="24"/>
          <w:szCs w:val="24"/>
          <w:lang w:val="en-GB"/>
        </w:rPr>
      </w:pPr>
      <w:r w:rsidRPr="00060E7A">
        <w:rPr>
          <w:rFonts w:ascii="Times New Roman" w:hAnsi="Times New Roman" w:cs="Times New Roman"/>
          <w:sz w:val="24"/>
          <w:szCs w:val="24"/>
          <w:lang w:val="en-GB"/>
        </w:rPr>
        <w:t>As to immigration, the impact for the we</w:t>
      </w:r>
      <w:r w:rsidR="00272C0A">
        <w:rPr>
          <w:rFonts w:ascii="Times New Roman" w:hAnsi="Times New Roman" w:cs="Times New Roman"/>
          <w:sz w:val="24"/>
          <w:szCs w:val="24"/>
          <w:lang w:val="en-GB"/>
        </w:rPr>
        <w:t>lfare state is a complex matter</w:t>
      </w:r>
      <w:r w:rsidRPr="00060E7A">
        <w:rPr>
          <w:rFonts w:ascii="Times New Roman" w:hAnsi="Times New Roman" w:cs="Times New Roman"/>
          <w:sz w:val="24"/>
          <w:szCs w:val="24"/>
          <w:lang w:val="en-GB"/>
        </w:rPr>
        <w:t xml:space="preserve">. Needless to say, immigration does not undermine support for a welfare state that provides security and services for the overwhelming </w:t>
      </w:r>
      <w:r w:rsidR="00277EDC" w:rsidRPr="00060E7A">
        <w:rPr>
          <w:rFonts w:ascii="Times New Roman" w:hAnsi="Times New Roman" w:cs="Times New Roman"/>
          <w:sz w:val="24"/>
          <w:szCs w:val="24"/>
          <w:lang w:val="en-GB"/>
        </w:rPr>
        <w:t xml:space="preserve">majority of the population (as claimed by some of the readers of Alesina &amp; Glaeser, 2004). Even if it may be difficult to build a welfare state in a context of ethnic or racial heterogeneity, it does not follow that it is equally difficult to maintain a welfare state in such a context. Sequential order is essential here: What comes first – the welfare state or multiculturalism. </w:t>
      </w:r>
    </w:p>
    <w:p w:rsidR="00277EDC" w:rsidRPr="00060E7A" w:rsidRDefault="00277EDC" w:rsidP="00501619">
      <w:pPr>
        <w:rPr>
          <w:rFonts w:ascii="Times New Roman" w:hAnsi="Times New Roman" w:cs="Times New Roman"/>
          <w:sz w:val="24"/>
          <w:szCs w:val="24"/>
          <w:lang w:val="en-GB"/>
        </w:rPr>
      </w:pPr>
      <w:r w:rsidRPr="00060E7A">
        <w:rPr>
          <w:rFonts w:ascii="Times New Roman" w:hAnsi="Times New Roman" w:cs="Times New Roman"/>
          <w:sz w:val="24"/>
          <w:szCs w:val="24"/>
          <w:lang w:val="en-GB"/>
        </w:rPr>
        <w:t>Next, it has also emerged that social capital has increased very substantially in the Nordic welfare states exactly during the decades where they have become substantially more ethnically heterogeneous (Albrekt Larsen, 2013). Rather, the challenge is one of welfare chauvinism: Welfare for the Danes. Ethnic minorities are typically considered the le</w:t>
      </w:r>
      <w:r w:rsidR="00272C0A">
        <w:rPr>
          <w:rFonts w:ascii="Times New Roman" w:hAnsi="Times New Roman" w:cs="Times New Roman"/>
          <w:sz w:val="24"/>
          <w:szCs w:val="24"/>
          <w:lang w:val="en-GB"/>
        </w:rPr>
        <w:t>ast “deserving”</w:t>
      </w:r>
      <w:r w:rsidRPr="00060E7A">
        <w:rPr>
          <w:rFonts w:ascii="Times New Roman" w:hAnsi="Times New Roman" w:cs="Times New Roman"/>
          <w:sz w:val="24"/>
          <w:szCs w:val="24"/>
          <w:lang w:val="en-GB"/>
        </w:rPr>
        <w:t xml:space="preserve">; this does probably not constitute a problem </w:t>
      </w:r>
      <w:r w:rsidRPr="00060E7A">
        <w:rPr>
          <w:rFonts w:ascii="Times New Roman" w:hAnsi="Times New Roman" w:cs="Times New Roman"/>
          <w:i/>
          <w:iCs/>
          <w:sz w:val="24"/>
          <w:szCs w:val="24"/>
          <w:lang w:val="en-GB"/>
        </w:rPr>
        <w:t>per se</w:t>
      </w:r>
      <w:r w:rsidRPr="00060E7A">
        <w:rPr>
          <w:rFonts w:ascii="Times New Roman" w:hAnsi="Times New Roman" w:cs="Times New Roman"/>
          <w:sz w:val="24"/>
          <w:szCs w:val="24"/>
          <w:lang w:val="en-GB"/>
        </w:rPr>
        <w:t>, but if it enables political decision makers to introduce de jure or de facto discrimination based on ethnicity</w:t>
      </w:r>
      <w:r w:rsidR="00501619" w:rsidRPr="00060E7A">
        <w:rPr>
          <w:rFonts w:ascii="Times New Roman" w:hAnsi="Times New Roman" w:cs="Times New Roman"/>
          <w:sz w:val="24"/>
          <w:szCs w:val="24"/>
          <w:lang w:val="en-GB"/>
        </w:rPr>
        <w:t>, this could gradually undermine the notion of full citizenship that has never been very pronounced in public debates, but</w:t>
      </w:r>
      <w:r w:rsidR="00272C0A">
        <w:rPr>
          <w:rFonts w:ascii="Times New Roman" w:hAnsi="Times New Roman" w:cs="Times New Roman"/>
          <w:sz w:val="24"/>
          <w:szCs w:val="24"/>
          <w:lang w:val="en-GB"/>
        </w:rPr>
        <w:t>,</w:t>
      </w:r>
      <w:r w:rsidR="00501619" w:rsidRPr="00060E7A">
        <w:rPr>
          <w:rFonts w:ascii="Times New Roman" w:hAnsi="Times New Roman" w:cs="Times New Roman"/>
          <w:sz w:val="24"/>
          <w:szCs w:val="24"/>
          <w:lang w:val="en-GB"/>
        </w:rPr>
        <w:t xml:space="preserve"> none the less</w:t>
      </w:r>
      <w:r w:rsidR="00272C0A">
        <w:rPr>
          <w:rFonts w:ascii="Times New Roman" w:hAnsi="Times New Roman" w:cs="Times New Roman"/>
          <w:sz w:val="24"/>
          <w:szCs w:val="24"/>
          <w:lang w:val="en-GB"/>
        </w:rPr>
        <w:t>,</w:t>
      </w:r>
      <w:r w:rsidR="00501619" w:rsidRPr="00060E7A">
        <w:rPr>
          <w:rFonts w:ascii="Times New Roman" w:hAnsi="Times New Roman" w:cs="Times New Roman"/>
          <w:sz w:val="24"/>
          <w:szCs w:val="24"/>
          <w:lang w:val="en-GB"/>
        </w:rPr>
        <w:t xml:space="preserve"> has served as an implicit normative foundation of a welfare state with very high social minima by comparative standards.</w:t>
      </w:r>
    </w:p>
    <w:p w:rsidR="00A02F01" w:rsidRPr="00060E7A" w:rsidRDefault="00501619" w:rsidP="00654484">
      <w:pPr>
        <w:rPr>
          <w:rFonts w:ascii="Times New Roman" w:hAnsi="Times New Roman" w:cs="Times New Roman"/>
          <w:sz w:val="24"/>
          <w:szCs w:val="24"/>
          <w:lang w:val="en-GB"/>
        </w:rPr>
      </w:pPr>
      <w:r w:rsidRPr="00060E7A">
        <w:rPr>
          <w:rFonts w:ascii="Times New Roman" w:hAnsi="Times New Roman" w:cs="Times New Roman"/>
          <w:sz w:val="24"/>
          <w:szCs w:val="24"/>
          <w:lang w:val="en-GB"/>
        </w:rPr>
        <w:t>Finally, one should not ignore the impact of economic crisis. Economic crises may open windows of opportunity for reforms</w:t>
      </w:r>
      <w:r w:rsidR="000456DA" w:rsidRPr="00060E7A">
        <w:rPr>
          <w:rFonts w:ascii="Times New Roman" w:hAnsi="Times New Roman" w:cs="Times New Roman"/>
          <w:sz w:val="24"/>
          <w:szCs w:val="24"/>
          <w:lang w:val="en-GB"/>
        </w:rPr>
        <w:t xml:space="preserve"> which can be exploited by political entrepreneurs – and for new ideas which could not be predicted. For instance, it was completely unpredictable that the Danish Social Democratic party leadership would seriously consider a break with universalism as it did in its so-called 2032 strategy. It was turned fiercely down by party members who happened to mobilize on the issue – but this is a rather unusual situation in most Danish parties</w:t>
      </w:r>
      <w:r w:rsidR="00A02F01" w:rsidRPr="00060E7A">
        <w:rPr>
          <w:rFonts w:ascii="Times New Roman" w:hAnsi="Times New Roman" w:cs="Times New Roman"/>
          <w:sz w:val="24"/>
          <w:szCs w:val="24"/>
          <w:lang w:val="en-GB"/>
        </w:rPr>
        <w:t xml:space="preserve"> and was perhaps even less predictable.</w:t>
      </w:r>
      <w:r w:rsidR="00654484" w:rsidRPr="00060E7A">
        <w:rPr>
          <w:rFonts w:ascii="Times New Roman" w:hAnsi="Times New Roman" w:cs="Times New Roman"/>
          <w:sz w:val="24"/>
          <w:szCs w:val="24"/>
          <w:lang w:val="en-GB"/>
        </w:rPr>
        <w:t xml:space="preserve"> It is worth to notice that the economic crisis did not come (only) from abroad, and the crisis did not arrive from any structural imbalances in the Danish economy, let alone problems caused by the welfare state. The crisis depended on irresponsible political decisions in the mid-2000s to liberalize credit policy and ignore the consequences. And the prolonged crisis depended on incapacity to diagnose and handle the crisis problem – the burst of a bubble economy was not even mentioned in the almost 90-page long government manifesto of 2011. </w:t>
      </w:r>
    </w:p>
    <w:p w:rsidR="00501619" w:rsidRPr="00060E7A" w:rsidRDefault="00A02F01" w:rsidP="00654484">
      <w:pPr>
        <w:rPr>
          <w:rFonts w:ascii="Times New Roman" w:hAnsi="Times New Roman" w:cs="Times New Roman"/>
          <w:sz w:val="24"/>
          <w:szCs w:val="24"/>
          <w:lang w:val="en-GB"/>
        </w:rPr>
      </w:pPr>
      <w:r w:rsidRPr="00060E7A">
        <w:rPr>
          <w:rFonts w:ascii="Times New Roman" w:hAnsi="Times New Roman" w:cs="Times New Roman"/>
          <w:sz w:val="24"/>
          <w:szCs w:val="24"/>
          <w:lang w:val="en-GB"/>
        </w:rPr>
        <w:t>The most predictable element is voter support for the welfare state. This has sometimes been weakened in extraordinary situations, but so far the situation has always returned to “normal”.</w:t>
      </w:r>
      <w:r w:rsidR="00F955C4" w:rsidRPr="00060E7A">
        <w:rPr>
          <w:rFonts w:ascii="Times New Roman" w:hAnsi="Times New Roman" w:cs="Times New Roman"/>
          <w:sz w:val="24"/>
          <w:szCs w:val="24"/>
          <w:lang w:val="en-GB"/>
        </w:rPr>
        <w:t xml:space="preserve"> </w:t>
      </w:r>
      <w:r w:rsidRPr="00060E7A">
        <w:rPr>
          <w:rFonts w:ascii="Times New Roman" w:hAnsi="Times New Roman" w:cs="Times New Roman"/>
          <w:sz w:val="24"/>
          <w:szCs w:val="24"/>
          <w:lang w:val="en-GB"/>
        </w:rPr>
        <w:t>Still, voters preferences are institutionally conditioned, and they are also depending on political discourse</w:t>
      </w:r>
      <w:r w:rsidR="00654484" w:rsidRPr="00060E7A">
        <w:rPr>
          <w:rFonts w:ascii="Times New Roman" w:hAnsi="Times New Roman" w:cs="Times New Roman"/>
          <w:sz w:val="24"/>
          <w:szCs w:val="24"/>
          <w:lang w:val="en-GB"/>
        </w:rPr>
        <w:t xml:space="preserve"> which, in turn, are conditioned by economic policy failures. </w:t>
      </w:r>
    </w:p>
    <w:p w:rsidR="00654484" w:rsidRPr="00060E7A" w:rsidRDefault="00654484" w:rsidP="00565387">
      <w:pPr>
        <w:rPr>
          <w:rFonts w:ascii="Times New Roman" w:hAnsi="Times New Roman" w:cs="Times New Roman"/>
          <w:sz w:val="24"/>
          <w:szCs w:val="24"/>
          <w:lang w:val="en-GB"/>
        </w:rPr>
      </w:pPr>
      <w:r w:rsidRPr="00060E7A">
        <w:rPr>
          <w:rFonts w:ascii="Times New Roman" w:hAnsi="Times New Roman" w:cs="Times New Roman"/>
          <w:sz w:val="24"/>
          <w:szCs w:val="24"/>
          <w:lang w:val="en-GB"/>
        </w:rPr>
        <w:t>This could look like a Danish peculiarity. However, it is remarkable that the Nordic welfare state also came under attack in Sweden, Finland, and Norway in the 1990s, following a quite similar policy disasters generat</w:t>
      </w:r>
      <w:r w:rsidR="00565387" w:rsidRPr="00060E7A">
        <w:rPr>
          <w:rFonts w:ascii="Times New Roman" w:hAnsi="Times New Roman" w:cs="Times New Roman"/>
          <w:sz w:val="24"/>
          <w:szCs w:val="24"/>
          <w:lang w:val="en-GB"/>
        </w:rPr>
        <w:t>ing housing and credit bubbles</w:t>
      </w:r>
      <w:r w:rsidR="003E41D7" w:rsidRPr="00060E7A">
        <w:rPr>
          <w:rFonts w:ascii="Times New Roman" w:hAnsi="Times New Roman" w:cs="Times New Roman"/>
          <w:sz w:val="24"/>
          <w:szCs w:val="24"/>
          <w:lang w:val="en-GB"/>
        </w:rPr>
        <w:t xml:space="preserve"> (Tranøy, 2002; Dølvik et al., 2015)</w:t>
      </w:r>
      <w:r w:rsidR="00565387" w:rsidRPr="00060E7A">
        <w:rPr>
          <w:rFonts w:ascii="Times New Roman" w:hAnsi="Times New Roman" w:cs="Times New Roman"/>
          <w:sz w:val="24"/>
          <w:szCs w:val="24"/>
          <w:lang w:val="en-GB"/>
        </w:rPr>
        <w:t>. The welfare state was not only victim in terms of necessary efforts to balance the economy; it also came under ideological attack even though the crisis could be attributed almost exclusively to imprudent credit policy liberalization that got out of hand.</w:t>
      </w:r>
    </w:p>
    <w:p w:rsidR="002E2B7E" w:rsidRPr="00060E7A" w:rsidRDefault="002E2B7E" w:rsidP="002E2B7E">
      <w:pPr>
        <w:rPr>
          <w:rFonts w:ascii="Times New Roman" w:hAnsi="Times New Roman" w:cs="Times New Roman"/>
          <w:sz w:val="24"/>
          <w:szCs w:val="24"/>
          <w:lang w:val="en-GB"/>
        </w:rPr>
      </w:pPr>
    </w:p>
    <w:p w:rsidR="00120961" w:rsidRPr="00060E7A" w:rsidRDefault="00120961">
      <w:pPr>
        <w:rPr>
          <w:rFonts w:ascii="Times New Roman" w:hAnsi="Times New Roman" w:cs="Times New Roman"/>
          <w:sz w:val="24"/>
          <w:szCs w:val="24"/>
          <w:lang w:val="en-GB"/>
        </w:rPr>
      </w:pPr>
      <w:r w:rsidRPr="00060E7A">
        <w:rPr>
          <w:rFonts w:ascii="Times New Roman" w:hAnsi="Times New Roman" w:cs="Times New Roman"/>
          <w:sz w:val="24"/>
          <w:szCs w:val="24"/>
          <w:lang w:val="en-GB"/>
        </w:rPr>
        <w:br w:type="page"/>
      </w:r>
    </w:p>
    <w:p w:rsidR="000115D9" w:rsidRPr="00060E7A" w:rsidRDefault="009615DD" w:rsidP="009615DD">
      <w:pPr>
        <w:pStyle w:val="Heading1"/>
        <w:rPr>
          <w:b w:val="0"/>
          <w:bCs w:val="0"/>
          <w:lang w:val="en-GB"/>
        </w:rPr>
      </w:pPr>
      <w:r w:rsidRPr="00060E7A">
        <w:rPr>
          <w:lang w:val="en-GB"/>
        </w:rPr>
        <w:t>Appendix tables</w:t>
      </w:r>
      <w:r w:rsidR="00516002" w:rsidRPr="00060E7A">
        <w:rPr>
          <w:lang w:val="en-GB"/>
        </w:rPr>
        <w:t xml:space="preserve"> &amp; figures</w:t>
      </w:r>
    </w:p>
    <w:p w:rsidR="009615DD" w:rsidRPr="00060E7A" w:rsidRDefault="009615DD" w:rsidP="009615DD">
      <w:pPr>
        <w:rPr>
          <w:lang w:val="en-GB" w:eastAsia="da-DK"/>
        </w:rPr>
      </w:pPr>
    </w:p>
    <w:p w:rsidR="009615DD" w:rsidRPr="00060E7A" w:rsidRDefault="009615DD" w:rsidP="009615DD">
      <w:pPr>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Appendix Table 1. Cumulative Growth Rates in Denmark and Sweden, 2007-2013. Per cent</w:t>
      </w:r>
    </w:p>
    <w:tbl>
      <w:tblPr>
        <w:tblW w:w="0" w:type="auto"/>
        <w:tblCellMar>
          <w:left w:w="0" w:type="dxa"/>
          <w:right w:w="0" w:type="dxa"/>
        </w:tblCellMar>
        <w:tblLook w:val="04A0" w:firstRow="1" w:lastRow="0" w:firstColumn="1" w:lastColumn="0" w:noHBand="0" w:noVBand="1"/>
      </w:tblPr>
      <w:tblGrid>
        <w:gridCol w:w="3201"/>
        <w:gridCol w:w="1950"/>
        <w:gridCol w:w="1623"/>
      </w:tblGrid>
      <w:tr w:rsidR="009615DD" w:rsidRPr="00060E7A" w:rsidTr="009C0C45">
        <w:trPr>
          <w:trHeight w:val="2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vAlign w:val="bottom"/>
            <w:hideMark/>
          </w:tcPr>
          <w:p w:rsidR="009615DD" w:rsidRPr="00060E7A" w:rsidRDefault="009615DD" w:rsidP="00516002">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vAlign w:val="bottom"/>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DENMARK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vAlign w:val="bottom"/>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SWEDEN</w:t>
            </w:r>
          </w:p>
        </w:tc>
      </w:tr>
      <w:tr w:rsidR="009615DD" w:rsidRPr="00060E7A" w:rsidTr="009C0C45">
        <w:trPr>
          <w:trHeight w:val="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GDP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+6,0</w:t>
            </w:r>
          </w:p>
        </w:tc>
      </w:tr>
      <w:tr w:rsidR="009615DD" w:rsidRPr="00060E7A" w:rsidTr="009C0C45">
        <w:trPr>
          <w:trHeight w:val="3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Imports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+4,5</w:t>
            </w:r>
          </w:p>
        </w:tc>
      </w:tr>
      <w:tr w:rsidR="009615DD" w:rsidRPr="00060E7A" w:rsidTr="009C0C45">
        <w:trPr>
          <w:trHeight w:val="3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Exports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+3,4</w:t>
            </w:r>
          </w:p>
        </w:tc>
      </w:tr>
      <w:tr w:rsidR="009615DD" w:rsidRPr="00060E7A" w:rsidTr="009615DD">
        <w:trPr>
          <w:trHeight w:val="3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Private Consumption </w:t>
            </w:r>
          </w:p>
        </w:tc>
        <w:tc>
          <w:tcPr>
            <w:tcW w:w="0" w:type="auto"/>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-3,4</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+9,3</w:t>
            </w:r>
          </w:p>
        </w:tc>
      </w:tr>
      <w:tr w:rsidR="009615DD" w:rsidRPr="00060E7A" w:rsidTr="009615DD">
        <w:trPr>
          <w:trHeight w:val="3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Public Consumption </w:t>
            </w:r>
          </w:p>
        </w:tc>
        <w:tc>
          <w:tcPr>
            <w:tcW w:w="0" w:type="auto"/>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+4,2</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+8,7</w:t>
            </w:r>
          </w:p>
        </w:tc>
      </w:tr>
      <w:tr w:rsidR="009615DD" w:rsidRPr="00060E7A" w:rsidTr="009C0C45">
        <w:trPr>
          <w:trHeight w:val="3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Gross investment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-17,0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hideMark/>
          </w:tcPr>
          <w:p w:rsidR="009615DD" w:rsidRPr="00060E7A" w:rsidRDefault="009615DD"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-1,4</w:t>
            </w:r>
          </w:p>
        </w:tc>
      </w:tr>
      <w:tr w:rsidR="009615DD" w:rsidRPr="00060E7A" w:rsidTr="009C0C45">
        <w:trPr>
          <w:trHeight w:val="48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32" w:type="dxa"/>
              <w:bottom w:w="0" w:type="dxa"/>
              <w:right w:w="32" w:type="dxa"/>
            </w:tcMar>
            <w:vAlign w:val="bottom"/>
            <w:hideMark/>
          </w:tcPr>
          <w:p w:rsidR="009615DD" w:rsidRPr="00060E7A" w:rsidRDefault="009615DD" w:rsidP="009C0C45">
            <w:pPr>
              <w:spacing w:after="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 xml:space="preserve">Source: Statistics Denmark + SCB, read 1.3.2014. </w:t>
            </w:r>
          </w:p>
          <w:p w:rsidR="009615DD" w:rsidRPr="00060E7A" w:rsidRDefault="009615DD" w:rsidP="009C0C45">
            <w:pPr>
              <w:spacing w:after="0" w:line="240" w:lineRule="auto"/>
              <w:rPr>
                <w:rFonts w:ascii="Times New Roman" w:hAnsi="Times New Roman" w:cs="Times New Roman"/>
                <w:sz w:val="24"/>
                <w:szCs w:val="24"/>
                <w:lang w:val="en-GB"/>
              </w:rPr>
            </w:pPr>
            <w:r w:rsidRPr="00060E7A">
              <w:rPr>
                <w:rFonts w:ascii="Times New Roman" w:hAnsi="Times New Roman" w:cs="Times New Roman"/>
                <w:sz w:val="20"/>
                <w:szCs w:val="20"/>
                <w:lang w:val="en-GB"/>
              </w:rPr>
              <w:t>*) Difference in gross investments mainly due to differences in housing investment.</w:t>
            </w:r>
          </w:p>
        </w:tc>
      </w:tr>
    </w:tbl>
    <w:p w:rsidR="009615DD" w:rsidRPr="00060E7A" w:rsidRDefault="009615DD" w:rsidP="009615DD">
      <w:pPr>
        <w:rPr>
          <w:rFonts w:ascii="Times New Roman" w:hAnsi="Times New Roman" w:cs="Times New Roman"/>
          <w:sz w:val="24"/>
          <w:szCs w:val="24"/>
          <w:lang w:val="en-GB"/>
        </w:rPr>
      </w:pPr>
    </w:p>
    <w:p w:rsidR="009615DD" w:rsidRPr="00060E7A" w:rsidRDefault="007D084C" w:rsidP="00516002">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Appendix Table 2. Taxes on Labour in Denmark and in the EU countries being members of the OECD.</w:t>
      </w:r>
    </w:p>
    <w:tbl>
      <w:tblPr>
        <w:tblW w:w="0" w:type="auto"/>
        <w:tblCellMar>
          <w:left w:w="0" w:type="dxa"/>
          <w:right w:w="0" w:type="dxa"/>
        </w:tblCellMar>
        <w:tblLook w:val="04A0" w:firstRow="1" w:lastRow="0" w:firstColumn="1" w:lastColumn="0" w:noHBand="0" w:noVBand="1"/>
      </w:tblPr>
      <w:tblGrid>
        <w:gridCol w:w="990"/>
        <w:gridCol w:w="1877"/>
        <w:gridCol w:w="1487"/>
        <w:gridCol w:w="1571"/>
        <w:gridCol w:w="1571"/>
        <w:gridCol w:w="1546"/>
      </w:tblGrid>
      <w:tr w:rsidR="007D084C" w:rsidRPr="00060E7A" w:rsidTr="007D084C">
        <w:trPr>
          <w:trHeight w:val="396"/>
        </w:trPr>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2014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Single, no children</w:t>
            </w:r>
            <w:r w:rsidRPr="00060E7A">
              <w:rPr>
                <w:rFonts w:ascii="Times New Roman" w:hAnsi="Times New Roman" w:cs="Times New Roman"/>
                <w:b/>
                <w:bCs/>
                <w:sz w:val="24"/>
                <w:szCs w:val="24"/>
                <w:lang w:val="en-GB"/>
              </w:rPr>
              <w:br/>
              <w:t>(income as per cent of average worker - AW)</w:t>
            </w:r>
            <w:r w:rsidRPr="00060E7A">
              <w:rPr>
                <w:rFonts w:ascii="Times New Roman" w:hAnsi="Times New Roman" w:cs="Times New Roman"/>
                <w:sz w:val="24"/>
                <w:szCs w:val="24"/>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D084C" w:rsidRPr="00060E7A" w:rsidRDefault="007D084C" w:rsidP="007D084C">
            <w:pPr>
              <w:spacing w:after="0" w:line="240" w:lineRule="auto"/>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Familiy with</w:t>
            </w:r>
          </w:p>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 two children</w:t>
            </w:r>
            <w:r w:rsidRPr="00060E7A">
              <w:rPr>
                <w:rFonts w:ascii="Times New Roman" w:hAnsi="Times New Roman" w:cs="Times New Roman"/>
                <w:sz w:val="24"/>
                <w:szCs w:val="24"/>
                <w:lang w:val="en-GB"/>
              </w:rPr>
              <w:t xml:space="preserve"> </w:t>
            </w:r>
          </w:p>
        </w:tc>
      </w:tr>
      <w:tr w:rsidR="007D084C" w:rsidRPr="00060E7A" w:rsidTr="007D084C">
        <w:trPr>
          <w:trHeight w:val="509"/>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7D084C" w:rsidRPr="00060E7A" w:rsidRDefault="007D084C" w:rsidP="007D084C">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Low wage </w:t>
            </w:r>
            <w:r w:rsidRPr="00060E7A">
              <w:rPr>
                <w:rFonts w:ascii="Times New Roman" w:hAnsi="Times New Roman" w:cs="Times New Roman"/>
                <w:sz w:val="24"/>
                <w:szCs w:val="24"/>
                <w:lang w:val="en-GB"/>
              </w:rPr>
              <w:br/>
              <w:t xml:space="preserve">67 % AW.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Average</w:t>
            </w:r>
            <w:r w:rsidRPr="00060E7A">
              <w:rPr>
                <w:rFonts w:ascii="Times New Roman" w:hAnsi="Times New Roman" w:cs="Times New Roman"/>
                <w:sz w:val="24"/>
                <w:szCs w:val="24"/>
                <w:lang w:val="en-GB"/>
              </w:rPr>
              <w:br/>
              <w:t xml:space="preserve">100 % AW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High wage</w:t>
            </w:r>
            <w:r w:rsidRPr="00060E7A">
              <w:rPr>
                <w:rFonts w:ascii="Times New Roman" w:hAnsi="Times New Roman" w:cs="Times New Roman"/>
                <w:sz w:val="24"/>
                <w:szCs w:val="24"/>
                <w:lang w:val="en-GB"/>
              </w:rPr>
              <w:br/>
              <w:t xml:space="preserve">167 % AW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100+67 % AW. </w:t>
            </w:r>
          </w:p>
        </w:tc>
      </w:tr>
      <w:tr w:rsidR="007D084C" w:rsidRPr="00060E7A" w:rsidTr="007D084C">
        <w:trPr>
          <w:trHeight w:val="19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D084C"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Average</w:t>
            </w:r>
          </w:p>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 tax</w:t>
            </w:r>
            <w:r w:rsidRPr="00060E7A">
              <w:rPr>
                <w:rFonts w:ascii="Times New Roman" w:hAnsi="Times New Roman" w:cs="Times New Roman"/>
                <w:sz w:val="24"/>
                <w:szCs w:val="24"/>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Top (Belgium)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49.9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55.6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60.8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48.4</w:t>
            </w:r>
          </w:p>
        </w:tc>
      </w:tr>
      <w:tr w:rsidR="007D084C" w:rsidRPr="00060E7A" w:rsidTr="007D084C">
        <w:trPr>
          <w:trHeight w:val="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84C" w:rsidRPr="00060E7A" w:rsidRDefault="007D084C" w:rsidP="007D084C">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EU 21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38.2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36.3</w:t>
            </w:r>
          </w:p>
        </w:tc>
      </w:tr>
      <w:tr w:rsidR="007D084C" w:rsidRPr="00060E7A" w:rsidTr="007D084C">
        <w:trPr>
          <w:trHeight w:val="2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84C" w:rsidRPr="00060E7A" w:rsidRDefault="007D084C" w:rsidP="007D084C">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Denmark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36.4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38.1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33.6</w:t>
            </w:r>
          </w:p>
        </w:tc>
      </w:tr>
      <w:tr w:rsidR="007D084C" w:rsidRPr="00060E7A" w:rsidTr="007D084C">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84C" w:rsidRPr="00060E7A" w:rsidRDefault="007D084C" w:rsidP="007D084C">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7D084C"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Diff. </w:t>
            </w:r>
          </w:p>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Denmark – EU 21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-3.2</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-2.7</w:t>
            </w:r>
          </w:p>
        </w:tc>
      </w:tr>
      <w:tr w:rsidR="007D084C" w:rsidRPr="00060E7A" w:rsidTr="007D084C">
        <w:trPr>
          <w:trHeight w:val="3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D084C"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Marginal</w:t>
            </w:r>
          </w:p>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tax</w:t>
            </w:r>
            <w:r w:rsidRPr="00060E7A">
              <w:rPr>
                <w:rFonts w:ascii="Times New Roman" w:hAnsi="Times New Roman" w:cs="Times New Roman"/>
                <w:sz w:val="24"/>
                <w:szCs w:val="24"/>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Top (Belgium)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66.3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66.3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68.5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65.5</w:t>
            </w:r>
          </w:p>
        </w:tc>
      </w:tr>
      <w:tr w:rsidR="007D084C" w:rsidRPr="00060E7A" w:rsidTr="007D084C">
        <w:trPr>
          <w:trHeight w:val="1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84C" w:rsidRPr="00060E7A" w:rsidRDefault="007D084C" w:rsidP="007D084C">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EU 21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48.7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51.3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53.1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49.2</w:t>
            </w:r>
          </w:p>
        </w:tc>
      </w:tr>
      <w:tr w:rsidR="007D084C" w:rsidRPr="00060E7A" w:rsidTr="007D084C">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84C" w:rsidRPr="00060E7A" w:rsidRDefault="007D084C" w:rsidP="007D084C">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Denmark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56.2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sz w:val="24"/>
                <w:szCs w:val="24"/>
                <w:lang w:val="en-GB"/>
              </w:rPr>
              <w:t>42.5</w:t>
            </w:r>
          </w:p>
        </w:tc>
      </w:tr>
      <w:tr w:rsidR="007D084C" w:rsidRPr="00060E7A" w:rsidTr="007D084C">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84C" w:rsidRPr="00060E7A" w:rsidRDefault="007D084C" w:rsidP="007D084C">
            <w:pPr>
              <w:spacing w:after="0" w:line="240" w:lineRule="auto"/>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7D084C"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Diff.</w:t>
            </w:r>
          </w:p>
          <w:p w:rsidR="009C0C45" w:rsidRPr="00060E7A" w:rsidRDefault="007D084C" w:rsidP="007D084C">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Denmark – EU 21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-8.6</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5" w:type="dxa"/>
              <w:left w:w="15" w:type="dxa"/>
              <w:bottom w:w="15" w:type="dxa"/>
              <w:right w:w="15" w:type="dxa"/>
            </w:tcMar>
            <w:vAlign w:val="center"/>
            <w:hideMark/>
          </w:tcPr>
          <w:p w:rsidR="009C0C45" w:rsidRPr="00060E7A" w:rsidRDefault="007D084C" w:rsidP="007D084C">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-6.7</w:t>
            </w:r>
          </w:p>
        </w:tc>
      </w:tr>
    </w:tbl>
    <w:p w:rsidR="007D084C" w:rsidRPr="00060E7A" w:rsidRDefault="007D084C" w:rsidP="009615DD">
      <w:pPr>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Source: OECD (2015). </w:t>
      </w:r>
      <w:r w:rsidRPr="00060E7A">
        <w:rPr>
          <w:rFonts w:ascii="Times New Roman" w:hAnsi="Times New Roman" w:cs="Times New Roman"/>
          <w:i/>
          <w:iCs/>
          <w:sz w:val="24"/>
          <w:szCs w:val="24"/>
          <w:lang w:val="en-GB"/>
        </w:rPr>
        <w:t>Taxing Wages, 2013-2014.</w:t>
      </w:r>
    </w:p>
    <w:p w:rsidR="007D084C" w:rsidRPr="00060E7A" w:rsidRDefault="007D084C" w:rsidP="009615DD">
      <w:pPr>
        <w:rPr>
          <w:rFonts w:ascii="Times New Roman" w:hAnsi="Times New Roman" w:cs="Times New Roman"/>
          <w:sz w:val="24"/>
          <w:szCs w:val="24"/>
          <w:lang w:val="en-GB"/>
        </w:rPr>
      </w:pPr>
    </w:p>
    <w:p w:rsidR="006021C1" w:rsidRPr="00060E7A" w:rsidRDefault="006021C1">
      <w:pPr>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br w:type="page"/>
      </w:r>
    </w:p>
    <w:p w:rsidR="007D084C" w:rsidRPr="00060E7A" w:rsidRDefault="006021C1" w:rsidP="006021C1">
      <w:pPr>
        <w:spacing w:after="0"/>
        <w:rPr>
          <w:rFonts w:ascii="Times New Roman" w:hAnsi="Times New Roman" w:cs="Times New Roman"/>
          <w:b/>
          <w:bCs/>
          <w:sz w:val="24"/>
          <w:szCs w:val="24"/>
          <w:lang w:val="en-GB"/>
        </w:rPr>
      </w:pPr>
      <w:r w:rsidRPr="00060E7A">
        <w:rPr>
          <w:rFonts w:ascii="Times New Roman" w:hAnsi="Times New Roman" w:cs="Times New Roman"/>
          <w:b/>
          <w:bCs/>
          <w:sz w:val="24"/>
          <w:szCs w:val="24"/>
          <w:lang w:val="en-GB"/>
        </w:rPr>
        <w:t>Appendix Figure 1. Net International Investment Position, NIIP (foreign debt/assets), as per cent of GDP.</w:t>
      </w:r>
    </w:p>
    <w:p w:rsidR="006021C1" w:rsidRPr="00060E7A" w:rsidRDefault="006021C1" w:rsidP="006021C1">
      <w:pPr>
        <w:spacing w:after="120" w:line="240" w:lineRule="auto"/>
        <w:rPr>
          <w:rFonts w:ascii="Times New Roman" w:hAnsi="Times New Roman" w:cs="Times New Roman"/>
          <w:b/>
          <w:bCs/>
          <w:sz w:val="24"/>
          <w:szCs w:val="24"/>
          <w:lang w:val="en-GB"/>
        </w:rPr>
      </w:pPr>
      <w:r w:rsidRPr="00060E7A">
        <w:rPr>
          <w:rFonts w:ascii="Times New Roman" w:hAnsi="Times New Roman" w:cs="Times New Roman"/>
          <w:b/>
          <w:bCs/>
          <w:noProof/>
          <w:sz w:val="24"/>
          <w:szCs w:val="24"/>
          <w:lang w:val="en-GB" w:eastAsia="en-GB"/>
        </w:rPr>
        <w:drawing>
          <wp:inline distT="0" distB="0" distL="0" distR="0" wp14:anchorId="07CBBF01" wp14:editId="2E6B2ED4">
            <wp:extent cx="6120130" cy="4289369"/>
            <wp:effectExtent l="19050" t="0" r="13970" b="0"/>
            <wp:docPr id="9"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084C" w:rsidRPr="00060E7A" w:rsidRDefault="006021C1" w:rsidP="006021C1">
      <w:pPr>
        <w:spacing w:after="120" w:line="240" w:lineRule="auto"/>
        <w:rPr>
          <w:rFonts w:ascii="Times New Roman" w:hAnsi="Times New Roman" w:cs="Times New Roman"/>
          <w:sz w:val="20"/>
          <w:szCs w:val="20"/>
          <w:lang w:val="en-GB"/>
        </w:rPr>
      </w:pPr>
      <w:r w:rsidRPr="00060E7A">
        <w:rPr>
          <w:rFonts w:ascii="Times New Roman" w:hAnsi="Times New Roman" w:cs="Times New Roman"/>
          <w:sz w:val="20"/>
          <w:szCs w:val="20"/>
          <w:lang w:val="en-GB"/>
        </w:rPr>
        <w:t xml:space="preserve">Iceland: -621.6 </w:t>
      </w:r>
    </w:p>
    <w:p w:rsidR="00516002" w:rsidRPr="00060E7A" w:rsidRDefault="00516002" w:rsidP="006021C1">
      <w:pPr>
        <w:spacing w:after="120" w:line="240" w:lineRule="auto"/>
        <w:rPr>
          <w:rFonts w:ascii="Times New Roman" w:hAnsi="Times New Roman" w:cs="Times New Roman"/>
          <w:sz w:val="20"/>
          <w:szCs w:val="20"/>
          <w:lang w:val="en-GB"/>
        </w:rPr>
      </w:pPr>
    </w:p>
    <w:p w:rsidR="003F74FA" w:rsidRPr="00060E7A" w:rsidRDefault="003F74FA" w:rsidP="00516002">
      <w:pPr>
        <w:spacing w:after="0" w:line="240" w:lineRule="auto"/>
        <w:rPr>
          <w:rFonts w:ascii="Times New Roman" w:hAnsi="Times New Roman" w:cs="Times New Roman"/>
          <w:b/>
          <w:bCs/>
          <w:sz w:val="24"/>
          <w:szCs w:val="24"/>
          <w:lang w:val="en-GB" w:eastAsia="da-DK"/>
        </w:rPr>
      </w:pPr>
      <w:r w:rsidRPr="00060E7A">
        <w:rPr>
          <w:rFonts w:ascii="Times New Roman" w:hAnsi="Times New Roman" w:cs="Times New Roman"/>
          <w:b/>
          <w:bCs/>
          <w:sz w:val="24"/>
          <w:szCs w:val="24"/>
          <w:lang w:val="en-GB" w:eastAsia="da-DK"/>
        </w:rPr>
        <w:t>Appendix Figure 2. Denmark. NIIP as per cent of GDP, 1998-2013. Quarterly figures.</w:t>
      </w:r>
    </w:p>
    <w:p w:rsidR="003F74FA" w:rsidRPr="00060E7A" w:rsidRDefault="003F74FA" w:rsidP="00516002">
      <w:pPr>
        <w:spacing w:after="0" w:line="240" w:lineRule="auto"/>
        <w:rPr>
          <w:lang w:val="en-GB" w:eastAsia="da-DK"/>
        </w:rPr>
      </w:pPr>
    </w:p>
    <w:p w:rsidR="00876B3F" w:rsidRPr="00060E7A" w:rsidRDefault="003F74FA" w:rsidP="00516002">
      <w:pPr>
        <w:spacing w:after="0" w:line="240" w:lineRule="auto"/>
        <w:rPr>
          <w:rFonts w:ascii="Times New Roman" w:hAnsi="Times New Roman" w:cs="Times New Roman"/>
          <w:b/>
          <w:bCs/>
          <w:sz w:val="24"/>
          <w:szCs w:val="24"/>
          <w:lang w:val="en-GB"/>
        </w:rPr>
      </w:pPr>
      <w:r w:rsidRPr="00060E7A">
        <w:rPr>
          <w:rFonts w:ascii="Times New Roman" w:hAnsi="Times New Roman" w:cs="Times New Roman"/>
          <w:noProof/>
          <w:sz w:val="24"/>
          <w:szCs w:val="24"/>
          <w:lang w:val="en-GB" w:eastAsia="en-GB"/>
        </w:rPr>
        <w:drawing>
          <wp:anchor distT="0" distB="0" distL="114300" distR="114300" simplePos="0" relativeHeight="251660288" behindDoc="0" locked="0" layoutInCell="1" allowOverlap="1" wp14:anchorId="60F04DF6" wp14:editId="7DEBB320">
            <wp:simplePos x="735042" y="2380891"/>
            <wp:positionH relativeFrom="column">
              <wp:align>left</wp:align>
            </wp:positionH>
            <wp:positionV relativeFrom="paragraph">
              <wp:align>top</wp:align>
            </wp:positionV>
            <wp:extent cx="4526173" cy="3303917"/>
            <wp:effectExtent l="19050" t="0" r="26777" b="0"/>
            <wp:wrapSquare wrapText="bothSides"/>
            <wp:docPr id="11"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060E7A">
        <w:rPr>
          <w:rFonts w:ascii="Times New Roman" w:hAnsi="Times New Roman" w:cs="Times New Roman"/>
          <w:sz w:val="24"/>
          <w:szCs w:val="24"/>
          <w:lang w:val="en-GB"/>
        </w:rPr>
        <w:br w:type="textWrapping" w:clear="all"/>
      </w:r>
      <w:r w:rsidR="00516002" w:rsidRPr="00060E7A">
        <w:rPr>
          <w:rFonts w:ascii="Times New Roman" w:hAnsi="Times New Roman" w:cs="Times New Roman"/>
          <w:b/>
          <w:bCs/>
          <w:sz w:val="24"/>
          <w:szCs w:val="24"/>
          <w:lang w:val="en-GB"/>
        </w:rPr>
        <w:t>Appendix Figure 3. Sovereigns Rating List. 2015.</w:t>
      </w:r>
    </w:p>
    <w:tbl>
      <w:tblPr>
        <w:tblW w:w="0" w:type="auto"/>
        <w:tblCellMar>
          <w:left w:w="0" w:type="dxa"/>
          <w:right w:w="0" w:type="dxa"/>
        </w:tblCellMar>
        <w:tblLook w:val="04A0" w:firstRow="1" w:lastRow="0" w:firstColumn="1" w:lastColumn="0" w:noHBand="0" w:noVBand="1"/>
      </w:tblPr>
      <w:tblGrid>
        <w:gridCol w:w="2278"/>
        <w:gridCol w:w="1134"/>
        <w:gridCol w:w="1134"/>
        <w:gridCol w:w="1276"/>
        <w:gridCol w:w="1559"/>
      </w:tblGrid>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Moody's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S&amp;P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Fitch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Fail  (=sum) </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Switzerland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Denmark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Sweden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Norway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Germany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Australia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Canada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Singapore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Luxembourg </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99FF99"/>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Netherlands </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United States </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Finland </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Austria </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559" w:type="dxa"/>
            <w:tcBorders>
              <w:top w:val="single" w:sz="8" w:space="0" w:color="000000"/>
              <w:left w:val="single" w:sz="8" w:space="0" w:color="000000"/>
              <w:bottom w:val="single" w:sz="8" w:space="0" w:color="000000"/>
              <w:right w:val="single" w:sz="8" w:space="0" w:color="000000"/>
            </w:tcBorders>
            <w:shd w:val="clear" w:color="auto" w:fill="DDD9C3"/>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United Kingdom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Aa1</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Hong Kong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Aa1</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New Zealand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4</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France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4</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Belgium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7</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China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9</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Chile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9</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South Korea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Taiwan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Japan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11</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Poland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17</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Ireland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18</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Mexico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20</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Spain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23</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Italy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24</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Brazil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25</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Iceland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26</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India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27</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Russia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28</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Portugal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31</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Hungary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31</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Greece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Caa1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45</w:t>
            </w:r>
          </w:p>
        </w:tc>
      </w:tr>
      <w:tr w:rsidR="003F74FA" w:rsidRPr="00060E7A" w:rsidTr="003F74FA">
        <w:trPr>
          <w:trHeight w:val="80"/>
        </w:trPr>
        <w:tc>
          <w:tcPr>
            <w:tcW w:w="2278"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2" w:type="dxa"/>
              <w:right w:w="2" w:type="dxa"/>
            </w:tcMar>
            <w:vAlign w:val="center"/>
            <w:hideMark/>
          </w:tcPr>
          <w:p w:rsidR="009C0C45" w:rsidRPr="00060E7A" w:rsidRDefault="003F74FA" w:rsidP="003F74FA">
            <w:pPr>
              <w:spacing w:after="0" w:line="240" w:lineRule="auto"/>
              <w:rPr>
                <w:rFonts w:ascii="Times New Roman" w:hAnsi="Times New Roman" w:cs="Times New Roman"/>
                <w:sz w:val="24"/>
                <w:szCs w:val="24"/>
                <w:lang w:val="en-GB"/>
              </w:rPr>
            </w:pPr>
            <w:r w:rsidRPr="00060E7A">
              <w:rPr>
                <w:rFonts w:ascii="Times New Roman" w:hAnsi="Times New Roman" w:cs="Times New Roman"/>
                <w:b/>
                <w:bCs/>
                <w:sz w:val="24"/>
                <w:szCs w:val="24"/>
                <w:lang w:val="en-GB"/>
              </w:rPr>
              <w:t xml:space="preserve">Ukraine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Caa3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CCC-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vAlign w:val="cente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CCC</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2" w:type="dxa"/>
              <w:right w:w="2" w:type="dxa"/>
            </w:tcMar>
            <w:hideMark/>
          </w:tcPr>
          <w:p w:rsidR="009C0C45" w:rsidRPr="00060E7A" w:rsidRDefault="003F74FA" w:rsidP="00516002">
            <w:pPr>
              <w:spacing w:after="0" w:line="240" w:lineRule="auto"/>
              <w:jc w:val="center"/>
              <w:rPr>
                <w:rFonts w:ascii="Times New Roman" w:hAnsi="Times New Roman" w:cs="Times New Roman"/>
                <w:sz w:val="24"/>
                <w:szCs w:val="24"/>
                <w:lang w:val="en-GB"/>
              </w:rPr>
            </w:pPr>
            <w:r w:rsidRPr="00060E7A">
              <w:rPr>
                <w:rFonts w:ascii="Times New Roman" w:hAnsi="Times New Roman" w:cs="Times New Roman"/>
                <w:b/>
                <w:bCs/>
                <w:sz w:val="24"/>
                <w:szCs w:val="24"/>
                <w:lang w:val="en-GB"/>
              </w:rPr>
              <w:t>54</w:t>
            </w:r>
          </w:p>
        </w:tc>
      </w:tr>
    </w:tbl>
    <w:p w:rsidR="00876B3F" w:rsidRPr="00060E7A" w:rsidRDefault="00876B3F" w:rsidP="003F74FA">
      <w:pPr>
        <w:spacing w:after="0" w:line="240" w:lineRule="auto"/>
        <w:rPr>
          <w:rFonts w:ascii="Times New Roman" w:hAnsi="Times New Roman" w:cs="Times New Roman"/>
          <w:sz w:val="24"/>
          <w:szCs w:val="24"/>
          <w:lang w:val="en-GB"/>
        </w:rPr>
      </w:pPr>
    </w:p>
    <w:p w:rsidR="003F74FA" w:rsidRPr="00060E7A" w:rsidRDefault="003F74FA" w:rsidP="00D95423">
      <w:pPr>
        <w:rPr>
          <w:rFonts w:ascii="Times New Roman" w:hAnsi="Times New Roman" w:cs="Times New Roman"/>
          <w:sz w:val="24"/>
          <w:szCs w:val="24"/>
          <w:lang w:val="en-GB"/>
        </w:rPr>
      </w:pPr>
    </w:p>
    <w:p w:rsidR="003F74FA" w:rsidRPr="00060E7A" w:rsidRDefault="003F74FA" w:rsidP="00D95423">
      <w:pPr>
        <w:rPr>
          <w:rFonts w:ascii="Times New Roman" w:hAnsi="Times New Roman" w:cs="Times New Roman"/>
          <w:sz w:val="24"/>
          <w:szCs w:val="24"/>
          <w:lang w:val="en-GB"/>
        </w:rPr>
      </w:pPr>
    </w:p>
    <w:p w:rsidR="003F74FA" w:rsidRPr="00060E7A" w:rsidRDefault="003F74FA" w:rsidP="00D95423">
      <w:pPr>
        <w:rPr>
          <w:rFonts w:ascii="Times New Roman" w:hAnsi="Times New Roman" w:cs="Times New Roman"/>
          <w:sz w:val="24"/>
          <w:szCs w:val="24"/>
          <w:lang w:val="en-GB"/>
        </w:rPr>
      </w:pPr>
    </w:p>
    <w:p w:rsidR="00BE12B7" w:rsidRPr="00060E7A" w:rsidRDefault="001F3255" w:rsidP="00086194">
      <w:pPr>
        <w:pStyle w:val="Heading1"/>
        <w:rPr>
          <w:lang w:val="en-GB"/>
        </w:rPr>
      </w:pPr>
      <w:bookmarkStart w:id="14" w:name="_Toc427117819"/>
      <w:r w:rsidRPr="00060E7A">
        <w:rPr>
          <w:lang w:val="en-GB"/>
        </w:rPr>
        <w:t>References</w:t>
      </w:r>
      <w:bookmarkEnd w:id="14"/>
    </w:p>
    <w:p w:rsidR="00086194" w:rsidRPr="00060E7A" w:rsidRDefault="00086194" w:rsidP="00086194">
      <w:pPr>
        <w:spacing w:after="0" w:line="240" w:lineRule="auto"/>
        <w:ind w:left="567" w:hanging="567"/>
        <w:rPr>
          <w:rFonts w:ascii="Times New Roman" w:hAnsi="Times New Roman" w:cs="Times New Roman"/>
          <w:sz w:val="24"/>
          <w:szCs w:val="24"/>
          <w:lang w:val="en-GB"/>
        </w:rPr>
      </w:pPr>
    </w:p>
    <w:p w:rsidR="0031416B" w:rsidRPr="00060E7A" w:rsidRDefault="0031416B" w:rsidP="003E41D7">
      <w:pPr>
        <w:spacing w:after="0" w:line="240" w:lineRule="auto"/>
        <w:ind w:left="567" w:hanging="567"/>
        <w:rPr>
          <w:rFonts w:ascii="Times New Roman" w:hAnsi="Times New Roman" w:cs="Times New Roman"/>
          <w:bCs/>
          <w:sz w:val="24"/>
          <w:szCs w:val="24"/>
          <w:lang w:val="en-GB"/>
        </w:rPr>
      </w:pPr>
      <w:r w:rsidRPr="00060E7A">
        <w:rPr>
          <w:rFonts w:ascii="Times New Roman" w:hAnsi="Times New Roman" w:cs="Times New Roman"/>
          <w:bCs/>
          <w:sz w:val="24"/>
          <w:szCs w:val="24"/>
          <w:lang w:val="en-GB"/>
        </w:rPr>
        <w:t xml:space="preserve">Albrekt Larsen, Christian (2013). </w:t>
      </w:r>
      <w:r w:rsidR="00E27FB6" w:rsidRPr="00060E7A">
        <w:rPr>
          <w:rFonts w:ascii="Times New Roman" w:hAnsi="Times New Roman" w:cs="Times New Roman"/>
          <w:bCs/>
          <w:i/>
          <w:iCs/>
          <w:sz w:val="24"/>
          <w:szCs w:val="24"/>
          <w:lang w:val="en-GB"/>
        </w:rPr>
        <w:t>The Rise and Fall of Social Cohesion</w:t>
      </w:r>
      <w:r w:rsidR="00E27FB6" w:rsidRPr="00060E7A">
        <w:rPr>
          <w:rFonts w:ascii="Times New Roman" w:hAnsi="Times New Roman" w:cs="Times New Roman"/>
          <w:bCs/>
          <w:sz w:val="24"/>
          <w:szCs w:val="24"/>
          <w:lang w:val="en-GB"/>
        </w:rPr>
        <w:t>. Oxford: Oxford University Press.</w:t>
      </w:r>
    </w:p>
    <w:p w:rsidR="003E41D7" w:rsidRPr="00060E7A" w:rsidRDefault="003E41D7" w:rsidP="003E41D7">
      <w:pPr>
        <w:spacing w:after="0" w:line="240" w:lineRule="auto"/>
        <w:ind w:left="567" w:hanging="567"/>
        <w:rPr>
          <w:rFonts w:ascii="Times New Roman" w:hAnsi="Times New Roman" w:cs="Times New Roman"/>
          <w:bCs/>
          <w:sz w:val="24"/>
          <w:szCs w:val="24"/>
          <w:lang w:val="en-GB"/>
        </w:rPr>
      </w:pPr>
      <w:r w:rsidRPr="00060E7A">
        <w:rPr>
          <w:rFonts w:ascii="Times New Roman" w:hAnsi="Times New Roman" w:cs="Times New Roman"/>
          <w:bCs/>
          <w:sz w:val="24"/>
          <w:szCs w:val="24"/>
          <w:lang w:val="en-GB"/>
        </w:rPr>
        <w:t xml:space="preserve">Dølvik, Jon Erik, Jørgen Goul Andersen, Juhana Vartianen (2015). ”The Nordic Social Models in Turbulent Times. Consolidation and Flexible Adaptation”, pp. 246-286 in Jon Erik Dølvik &amp; Andrew Martin (eds.), </w:t>
      </w:r>
      <w:r w:rsidRPr="00060E7A">
        <w:rPr>
          <w:rFonts w:ascii="Times New Roman" w:hAnsi="Times New Roman" w:cs="Times New Roman"/>
          <w:bCs/>
          <w:i/>
          <w:iCs/>
          <w:sz w:val="24"/>
          <w:szCs w:val="24"/>
          <w:lang w:val="en-GB"/>
        </w:rPr>
        <w:t>European Social Models from Crisis to Crisis. Employment and Inequality in the Era of Monetary Integration</w:t>
      </w:r>
      <w:r w:rsidRPr="00060E7A">
        <w:rPr>
          <w:rFonts w:ascii="Times New Roman" w:hAnsi="Times New Roman" w:cs="Times New Roman"/>
          <w:bCs/>
          <w:sz w:val="24"/>
          <w:szCs w:val="24"/>
          <w:lang w:val="en-GB"/>
        </w:rPr>
        <w:t>. Oxford: Oxford University Press.</w:t>
      </w:r>
    </w:p>
    <w:p w:rsidR="00814782" w:rsidRPr="00060E7A" w:rsidRDefault="00814782"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Energistyrelsen (2014). </w:t>
      </w:r>
      <w:r w:rsidRPr="00060E7A">
        <w:rPr>
          <w:rFonts w:ascii="Times New Roman" w:hAnsi="Times New Roman" w:cs="Times New Roman"/>
          <w:i/>
          <w:iCs/>
          <w:sz w:val="24"/>
          <w:szCs w:val="24"/>
          <w:lang w:val="en-GB"/>
        </w:rPr>
        <w:t>Energistatistik 2013</w:t>
      </w:r>
      <w:r w:rsidRPr="00060E7A">
        <w:rPr>
          <w:rFonts w:ascii="Times New Roman" w:hAnsi="Times New Roman" w:cs="Times New Roman"/>
          <w:sz w:val="24"/>
          <w:szCs w:val="24"/>
          <w:lang w:val="en-GB"/>
        </w:rPr>
        <w:t>. Copenhagen: Energistyrelsen.</w:t>
      </w:r>
    </w:p>
    <w:p w:rsidR="007451C3" w:rsidRPr="00060E7A" w:rsidRDefault="007451C3"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Goul Andersen, Jørgen (1988). "Vælgernes holdninger til den offentlige udgiftspolitik", pp. 145-90  in Karl-Henrik Bentzon (ed.), </w:t>
      </w:r>
      <w:r w:rsidRPr="00060E7A">
        <w:rPr>
          <w:rFonts w:ascii="Times New Roman" w:hAnsi="Times New Roman" w:cs="Times New Roman"/>
          <w:i/>
          <w:iCs/>
          <w:sz w:val="24"/>
          <w:szCs w:val="24"/>
          <w:lang w:val="en-GB"/>
        </w:rPr>
        <w:t>Fra vækst til</w:t>
      </w:r>
      <w:r w:rsidRPr="00060E7A">
        <w:rPr>
          <w:rFonts w:ascii="Times New Roman" w:hAnsi="Times New Roman" w:cs="Times New Roman"/>
          <w:sz w:val="24"/>
          <w:szCs w:val="24"/>
          <w:lang w:val="en-GB"/>
        </w:rPr>
        <w:t xml:space="preserve"> </w:t>
      </w:r>
      <w:r w:rsidRPr="00060E7A">
        <w:rPr>
          <w:rFonts w:ascii="Times New Roman" w:hAnsi="Times New Roman" w:cs="Times New Roman"/>
          <w:i/>
          <w:iCs/>
          <w:sz w:val="24"/>
          <w:szCs w:val="24"/>
          <w:lang w:val="en-GB"/>
        </w:rPr>
        <w:t>omstilling</w:t>
      </w:r>
      <w:r w:rsidRPr="00060E7A">
        <w:rPr>
          <w:rFonts w:ascii="Times New Roman" w:hAnsi="Times New Roman" w:cs="Times New Roman"/>
          <w:sz w:val="24"/>
          <w:szCs w:val="24"/>
          <w:lang w:val="en-GB"/>
        </w:rPr>
        <w:t>. Copenhagen: Nyt fra Samfundsvidenskaberne.</w:t>
      </w:r>
    </w:p>
    <w:p w:rsidR="007451C3" w:rsidRPr="00060E7A" w:rsidRDefault="007451C3"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Goul Andersen, Jørgen (1991). "Responsible Welfare State Support in Denmark", pp.151-80 in Tim Knudsen (ed.). </w:t>
      </w:r>
      <w:r w:rsidRPr="00060E7A">
        <w:rPr>
          <w:rFonts w:ascii="Times New Roman" w:hAnsi="Times New Roman" w:cs="Times New Roman"/>
          <w:i/>
          <w:iCs/>
          <w:sz w:val="24"/>
          <w:szCs w:val="24"/>
          <w:lang w:val="en-GB"/>
        </w:rPr>
        <w:t>Welfare Administration in Denmark</w:t>
      </w:r>
      <w:r w:rsidRPr="00060E7A">
        <w:rPr>
          <w:rFonts w:ascii="Times New Roman" w:hAnsi="Times New Roman" w:cs="Times New Roman"/>
          <w:sz w:val="24"/>
          <w:szCs w:val="24"/>
          <w:lang w:val="en-GB"/>
        </w:rPr>
        <w:t>. Copenhagen: Ministry of Finance.</w:t>
      </w:r>
    </w:p>
    <w:p w:rsidR="007451C3" w:rsidRPr="00060E7A" w:rsidRDefault="007451C3"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Goul Andersen, Jørgen (1992). "Sources of Welfare State Support in Denmark: Self-Interest or Way of Life?" </w:t>
      </w:r>
      <w:r w:rsidRPr="00060E7A">
        <w:rPr>
          <w:rFonts w:ascii="Times New Roman" w:hAnsi="Times New Roman" w:cs="Times New Roman"/>
          <w:i/>
          <w:iCs/>
          <w:sz w:val="24"/>
          <w:szCs w:val="24"/>
          <w:lang w:val="en-GB"/>
        </w:rPr>
        <w:t>International Journal of Sociology</w:t>
      </w:r>
      <w:r w:rsidRPr="00060E7A">
        <w:rPr>
          <w:rFonts w:ascii="Times New Roman" w:hAnsi="Times New Roman" w:cs="Times New Roman"/>
          <w:sz w:val="24"/>
          <w:szCs w:val="24"/>
          <w:lang w:val="en-GB"/>
        </w:rPr>
        <w:t>, vol.22, pp. 25-48.</w:t>
      </w:r>
    </w:p>
    <w:p w:rsidR="0033147E" w:rsidRPr="00060E7A" w:rsidRDefault="0033147E"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Goul Andersen, Jørgen (1994). "Samfundsøkonomi, interesser og politisk adfærd", pp. 15-</w:t>
      </w:r>
      <w:smartTag w:uri="urn:schemas-microsoft-com:office:smarttags" w:element="metricconverter">
        <w:smartTagPr>
          <w:attr w:name="ProductID" w:val="136 in"/>
        </w:smartTagPr>
        <w:r w:rsidRPr="00060E7A">
          <w:rPr>
            <w:rFonts w:ascii="Times New Roman" w:hAnsi="Times New Roman" w:cs="Times New Roman"/>
            <w:sz w:val="24"/>
            <w:szCs w:val="24"/>
            <w:lang w:val="en-GB"/>
          </w:rPr>
          <w:t>136 in</w:t>
        </w:r>
      </w:smartTag>
      <w:r w:rsidRPr="00060E7A">
        <w:rPr>
          <w:rFonts w:ascii="Times New Roman" w:hAnsi="Times New Roman" w:cs="Times New Roman"/>
          <w:sz w:val="24"/>
          <w:szCs w:val="24"/>
          <w:lang w:val="en-GB"/>
        </w:rPr>
        <w:t xml:space="preserve"> Eggert Petersen et al., </w:t>
      </w:r>
      <w:r w:rsidRPr="00060E7A">
        <w:rPr>
          <w:rFonts w:ascii="Times New Roman" w:hAnsi="Times New Roman" w:cs="Times New Roman"/>
          <w:i/>
          <w:iCs/>
          <w:sz w:val="24"/>
          <w:szCs w:val="24"/>
          <w:lang w:val="en-GB"/>
        </w:rPr>
        <w:t>Livskvalitet og holdninger i det variable nichesamfund</w:t>
      </w:r>
      <w:r w:rsidRPr="00060E7A">
        <w:rPr>
          <w:rFonts w:ascii="Times New Roman" w:hAnsi="Times New Roman" w:cs="Times New Roman"/>
          <w:sz w:val="24"/>
          <w:szCs w:val="24"/>
          <w:lang w:val="en-GB"/>
        </w:rPr>
        <w:t>. Aarhus: Dep.of Psychology/Aarhus University Press.</w:t>
      </w:r>
    </w:p>
    <w:p w:rsidR="001D66E6" w:rsidRPr="00060E7A" w:rsidRDefault="0033147E"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 </w:t>
      </w:r>
      <w:r w:rsidR="001D66E6" w:rsidRPr="00060E7A">
        <w:rPr>
          <w:rFonts w:ascii="Times New Roman" w:hAnsi="Times New Roman" w:cs="Times New Roman"/>
          <w:sz w:val="24"/>
          <w:szCs w:val="24"/>
          <w:lang w:val="en-GB"/>
        </w:rPr>
        <w:t>Goul Andersen, Jørgen (1997). "Krisebevidsthed og velfærdsholdninger i en højkonjunktur", pp. 151-</w:t>
      </w:r>
      <w:smartTag w:uri="urn:schemas-microsoft-com:office:smarttags" w:element="metricconverter">
        <w:smartTagPr>
          <w:attr w:name="ProductID" w:val="70 in"/>
        </w:smartTagPr>
        <w:r w:rsidR="001D66E6" w:rsidRPr="00060E7A">
          <w:rPr>
            <w:rFonts w:ascii="Times New Roman" w:hAnsi="Times New Roman" w:cs="Times New Roman"/>
            <w:sz w:val="24"/>
            <w:szCs w:val="24"/>
            <w:lang w:val="en-GB"/>
          </w:rPr>
          <w:t>70 in</w:t>
        </w:r>
      </w:smartTag>
      <w:r w:rsidR="001D66E6" w:rsidRPr="00060E7A">
        <w:rPr>
          <w:rFonts w:ascii="Times New Roman" w:hAnsi="Times New Roman" w:cs="Times New Roman"/>
          <w:sz w:val="24"/>
          <w:szCs w:val="24"/>
          <w:lang w:val="en-GB"/>
        </w:rPr>
        <w:t xml:space="preserve"> Gert Graversen (ed.), </w:t>
      </w:r>
      <w:r w:rsidR="001D66E6" w:rsidRPr="00060E7A">
        <w:rPr>
          <w:rFonts w:ascii="Times New Roman" w:hAnsi="Times New Roman" w:cs="Times New Roman"/>
          <w:i/>
          <w:iCs/>
          <w:sz w:val="24"/>
          <w:szCs w:val="24"/>
          <w:lang w:val="en-GB"/>
        </w:rPr>
        <w:t>Et arbejdsliv</w:t>
      </w:r>
      <w:r w:rsidR="001D66E6" w:rsidRPr="00060E7A">
        <w:rPr>
          <w:rFonts w:ascii="Times New Roman" w:hAnsi="Times New Roman" w:cs="Times New Roman"/>
          <w:sz w:val="24"/>
          <w:szCs w:val="24"/>
          <w:lang w:val="en-GB"/>
        </w:rPr>
        <w:t xml:space="preserve">. Festskrift tilegnet Professor dr.Phil Eggert Petersen. Aarhus: Psykologisk Institut, Aarhus Universitet. </w:t>
      </w:r>
    </w:p>
    <w:p w:rsidR="00F809D7" w:rsidRPr="00060E7A" w:rsidRDefault="00F809D7"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color w:val="000000"/>
          <w:sz w:val="24"/>
          <w:szCs w:val="24"/>
          <w:lang w:val="en-GB"/>
        </w:rPr>
        <w:t>Goul Andersen, Jørgen (2007). “</w:t>
      </w:r>
      <w:r w:rsidRPr="00060E7A">
        <w:rPr>
          <w:rFonts w:ascii="Times New Roman" w:hAnsi="Times New Roman" w:cs="Times New Roman"/>
          <w:sz w:val="24"/>
          <w:szCs w:val="24"/>
          <w:lang w:val="en-GB"/>
        </w:rPr>
        <w:t xml:space="preserve">Restricting access to social protection for immigrants in the Danish welfare state”, </w:t>
      </w:r>
      <w:r w:rsidRPr="00060E7A">
        <w:rPr>
          <w:rFonts w:ascii="Times New Roman" w:hAnsi="Times New Roman" w:cs="Times New Roman"/>
          <w:i/>
          <w:sz w:val="24"/>
          <w:szCs w:val="24"/>
          <w:lang w:val="en-GB"/>
        </w:rPr>
        <w:t>Benefits</w:t>
      </w:r>
      <w:r w:rsidRPr="00060E7A">
        <w:rPr>
          <w:rFonts w:ascii="Times New Roman" w:hAnsi="Times New Roman" w:cs="Times New Roman"/>
          <w:sz w:val="24"/>
          <w:szCs w:val="24"/>
          <w:lang w:val="en-GB"/>
        </w:rPr>
        <w:t xml:space="preserve">, vol. 15 (3), 157-69. </w:t>
      </w:r>
    </w:p>
    <w:p w:rsidR="007451C3" w:rsidRPr="00060E7A" w:rsidRDefault="00A52C4A" w:rsidP="00805F23">
      <w:pPr>
        <w:spacing w:after="0" w:line="240" w:lineRule="auto"/>
        <w:ind w:left="567" w:hanging="567"/>
        <w:rPr>
          <w:rFonts w:ascii="Times New Roman" w:hAnsi="Times New Roman" w:cs="Times New Roman"/>
          <w:color w:val="000000"/>
          <w:sz w:val="24"/>
          <w:szCs w:val="24"/>
          <w:lang w:val="en-GB"/>
        </w:rPr>
      </w:pPr>
      <w:r w:rsidRPr="00060E7A">
        <w:rPr>
          <w:rFonts w:ascii="Times New Roman" w:hAnsi="Times New Roman" w:cs="Times New Roman"/>
          <w:sz w:val="24"/>
          <w:szCs w:val="24"/>
          <w:lang w:val="en-GB"/>
        </w:rPr>
        <w:fldChar w:fldCharType="begin"/>
      </w:r>
      <w:r w:rsidR="007451C3" w:rsidRPr="00060E7A">
        <w:rPr>
          <w:rFonts w:ascii="Times New Roman" w:hAnsi="Times New Roman" w:cs="Times New Roman"/>
          <w:sz w:val="24"/>
          <w:szCs w:val="24"/>
          <w:lang w:val="en-GB"/>
        </w:rPr>
        <w:instrText xml:space="preserve"> SEQ CHAPTER \h \r 1</w:instrText>
      </w:r>
      <w:r w:rsidRPr="00060E7A">
        <w:rPr>
          <w:rFonts w:ascii="Times New Roman" w:hAnsi="Times New Roman" w:cs="Times New Roman"/>
          <w:sz w:val="24"/>
          <w:szCs w:val="24"/>
          <w:lang w:val="en-GB"/>
        </w:rPr>
        <w:fldChar w:fldCharType="end"/>
      </w:r>
      <w:r w:rsidR="007451C3" w:rsidRPr="00060E7A">
        <w:rPr>
          <w:rFonts w:ascii="Times New Roman" w:hAnsi="Times New Roman" w:cs="Times New Roman"/>
          <w:color w:val="000000"/>
          <w:sz w:val="24"/>
          <w:szCs w:val="24"/>
          <w:lang w:val="en-GB"/>
        </w:rPr>
        <w:t>Goul Andersen, Jørgen (2008a). “Public Support for the Danish Welfare State: Interests and Values, Institutions and Performance”, pp. 75-</w:t>
      </w:r>
      <w:smartTag w:uri="urn:schemas-microsoft-com:office:smarttags" w:element="metricconverter">
        <w:smartTagPr>
          <w:attr w:name="ProductID" w:val="114 in"/>
        </w:smartTagPr>
        <w:r w:rsidR="007451C3" w:rsidRPr="00060E7A">
          <w:rPr>
            <w:rFonts w:ascii="Times New Roman" w:hAnsi="Times New Roman" w:cs="Times New Roman"/>
            <w:color w:val="000000"/>
            <w:sz w:val="24"/>
            <w:szCs w:val="24"/>
            <w:lang w:val="en-GB"/>
          </w:rPr>
          <w:t>114 in</w:t>
        </w:r>
      </w:smartTag>
      <w:r w:rsidR="007451C3" w:rsidRPr="00060E7A">
        <w:rPr>
          <w:rFonts w:ascii="Times New Roman" w:hAnsi="Times New Roman" w:cs="Times New Roman"/>
          <w:color w:val="000000"/>
          <w:sz w:val="24"/>
          <w:szCs w:val="24"/>
          <w:lang w:val="en-GB"/>
        </w:rPr>
        <w:t xml:space="preserve"> Erik Albæk, Leslie C. Eliason, Asbjørn Sonne Nørgaard &amp; Herman M. Schwartz, eds., </w:t>
      </w:r>
      <w:r w:rsidR="007451C3" w:rsidRPr="00060E7A">
        <w:rPr>
          <w:rFonts w:ascii="Times New Roman" w:hAnsi="Times New Roman" w:cs="Times New Roman"/>
          <w:i/>
          <w:iCs/>
          <w:color w:val="000000"/>
          <w:sz w:val="24"/>
          <w:szCs w:val="24"/>
          <w:lang w:val="en-GB"/>
        </w:rPr>
        <w:t>Crisis, Miracles and Beyond: Negotiated Adaptation of the Danish Welfare State</w:t>
      </w:r>
      <w:r w:rsidR="007451C3" w:rsidRPr="00060E7A">
        <w:rPr>
          <w:rFonts w:ascii="Times New Roman" w:hAnsi="Times New Roman" w:cs="Times New Roman"/>
          <w:color w:val="000000"/>
          <w:sz w:val="24"/>
          <w:szCs w:val="24"/>
          <w:lang w:val="en-GB"/>
        </w:rPr>
        <w:t xml:space="preserve">. Aarhus University Press. </w:t>
      </w:r>
    </w:p>
    <w:p w:rsidR="001D66E6" w:rsidRPr="00060E7A" w:rsidRDefault="001D66E6"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Goul Andersen, Jørgen (2011a). Retrenchment with consent. Framing, persuation and ambivalent attitudes in two Danish Welfare Reforms. CCWS Working Paper No. 74, 2011.</w:t>
      </w:r>
    </w:p>
    <w:p w:rsidR="0016167F" w:rsidRPr="00060E7A" w:rsidRDefault="0016167F"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bCs/>
          <w:sz w:val="24"/>
          <w:szCs w:val="24"/>
          <w:lang w:val="en-GB"/>
        </w:rPr>
        <w:t xml:space="preserve">Goul Andersen, Jørgen (2011b). “From the Edge of the Abyss to Bonanza – and Beyond. Danish Economy and Economic Policies 1980-2011”, </w:t>
      </w:r>
      <w:r w:rsidRPr="00060E7A">
        <w:rPr>
          <w:rFonts w:ascii="Times New Roman" w:hAnsi="Times New Roman" w:cs="Times New Roman"/>
          <w:bCs/>
          <w:i/>
          <w:iCs/>
          <w:sz w:val="24"/>
          <w:szCs w:val="24"/>
          <w:lang w:val="en-GB"/>
        </w:rPr>
        <w:t>Comparative Social Research,</w:t>
      </w:r>
      <w:r w:rsidRPr="00060E7A">
        <w:rPr>
          <w:rFonts w:ascii="Times New Roman" w:hAnsi="Times New Roman" w:cs="Times New Roman"/>
          <w:bCs/>
          <w:sz w:val="24"/>
          <w:szCs w:val="24"/>
          <w:lang w:val="en-GB"/>
        </w:rPr>
        <w:t xml:space="preserve"> vol.28, pp. 89-165.</w:t>
      </w:r>
    </w:p>
    <w:p w:rsidR="008E7C2D" w:rsidRPr="00060E7A" w:rsidRDefault="008E7C2D"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Goul Andersen, Jørgen (2012). ”Økonomisk bæredygtighed – politisk usikkerhed. Den danske velfærdsstat 1990-2012”, </w:t>
      </w:r>
      <w:r w:rsidRPr="00060E7A">
        <w:rPr>
          <w:rFonts w:ascii="Times New Roman" w:hAnsi="Times New Roman" w:cs="Times New Roman"/>
          <w:i/>
          <w:iCs/>
          <w:sz w:val="24"/>
          <w:szCs w:val="24"/>
          <w:lang w:val="en-GB"/>
        </w:rPr>
        <w:t>Politica</w:t>
      </w:r>
      <w:r w:rsidRPr="00060E7A">
        <w:rPr>
          <w:rFonts w:ascii="Times New Roman" w:hAnsi="Times New Roman" w:cs="Times New Roman"/>
          <w:sz w:val="24"/>
          <w:szCs w:val="24"/>
          <w:lang w:val="en-GB"/>
        </w:rPr>
        <w:t>, vol. 44 (3), pp. 339-361.</w:t>
      </w:r>
    </w:p>
    <w:p w:rsidR="008E7C2D" w:rsidRPr="00060E7A" w:rsidRDefault="00814782"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Goul Andersen, Jørgen (2013). </w:t>
      </w:r>
      <w:r w:rsidRPr="00060E7A">
        <w:rPr>
          <w:rFonts w:ascii="Times New Roman" w:hAnsi="Times New Roman" w:cs="Times New Roman"/>
          <w:i/>
          <w:sz w:val="24"/>
          <w:szCs w:val="24"/>
          <w:lang w:val="en-GB"/>
        </w:rPr>
        <w:t>Krisens Navn</w:t>
      </w:r>
      <w:r w:rsidRPr="00060E7A">
        <w:rPr>
          <w:rFonts w:ascii="Times New Roman" w:hAnsi="Times New Roman" w:cs="Times New Roman"/>
          <w:sz w:val="24"/>
          <w:szCs w:val="24"/>
          <w:lang w:val="en-GB"/>
        </w:rPr>
        <w:t xml:space="preserve">. </w:t>
      </w:r>
      <w:r w:rsidRPr="00060E7A">
        <w:rPr>
          <w:rFonts w:ascii="Times New Roman" w:hAnsi="Times New Roman" w:cs="Times New Roman"/>
          <w:i/>
          <w:sz w:val="24"/>
          <w:szCs w:val="24"/>
          <w:lang w:val="en-GB"/>
        </w:rPr>
        <w:t xml:space="preserve">Bekæmper regeringen den forkerte økonomiske krise? </w:t>
      </w:r>
      <w:r w:rsidRPr="00060E7A">
        <w:rPr>
          <w:rFonts w:ascii="Times New Roman" w:hAnsi="Times New Roman" w:cs="Times New Roman"/>
          <w:sz w:val="24"/>
          <w:szCs w:val="24"/>
          <w:lang w:val="en-GB"/>
        </w:rPr>
        <w:t>Copenhagen: Frydenlund Academic.</w:t>
      </w:r>
    </w:p>
    <w:p w:rsidR="007451C3" w:rsidRPr="00060E7A" w:rsidRDefault="007451C3" w:rsidP="00805F23">
      <w:pPr>
        <w:spacing w:after="0" w:line="240" w:lineRule="auto"/>
        <w:ind w:left="567" w:hanging="567"/>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OECD (2015). </w:t>
      </w:r>
      <w:r w:rsidRPr="00060E7A">
        <w:rPr>
          <w:rFonts w:ascii="Times New Roman" w:hAnsi="Times New Roman" w:cs="Times New Roman"/>
          <w:i/>
          <w:iCs/>
          <w:sz w:val="24"/>
          <w:szCs w:val="24"/>
          <w:lang w:val="en-GB"/>
        </w:rPr>
        <w:t>Economic Outlook 97</w:t>
      </w:r>
      <w:r w:rsidRPr="00060E7A">
        <w:rPr>
          <w:rFonts w:ascii="Times New Roman" w:hAnsi="Times New Roman" w:cs="Times New Roman"/>
          <w:sz w:val="24"/>
          <w:szCs w:val="24"/>
          <w:lang w:val="en-GB"/>
        </w:rPr>
        <w:t>. June 2015. Paris: OECD.</w:t>
      </w:r>
    </w:p>
    <w:p w:rsidR="007451C3" w:rsidRPr="00060E7A" w:rsidRDefault="00805F23" w:rsidP="00805F23">
      <w:pPr>
        <w:spacing w:after="0" w:line="240" w:lineRule="auto"/>
        <w:ind w:left="567" w:hanging="567"/>
        <w:jc w:val="both"/>
        <w:rPr>
          <w:rFonts w:ascii="Times New Roman" w:hAnsi="Times New Roman" w:cs="Times New Roman"/>
          <w:sz w:val="24"/>
          <w:szCs w:val="24"/>
          <w:lang w:val="en-GB"/>
        </w:rPr>
      </w:pPr>
      <w:r w:rsidRPr="00060E7A">
        <w:rPr>
          <w:rFonts w:ascii="Times New Roman" w:hAnsi="Times New Roman" w:cs="Times New Roman"/>
          <w:sz w:val="24"/>
          <w:szCs w:val="24"/>
          <w:lang w:val="en-GB"/>
        </w:rPr>
        <w:t xml:space="preserve">Rothstein, Bo (1998). </w:t>
      </w:r>
      <w:r w:rsidRPr="00060E7A">
        <w:rPr>
          <w:rFonts w:ascii="Times New Roman" w:hAnsi="Times New Roman" w:cs="Times New Roman"/>
          <w:i/>
          <w:iCs/>
          <w:sz w:val="24"/>
          <w:szCs w:val="24"/>
          <w:lang w:val="en-GB"/>
        </w:rPr>
        <w:t>Just institutions matter</w:t>
      </w:r>
      <w:r w:rsidRPr="00060E7A">
        <w:rPr>
          <w:rFonts w:ascii="Times New Roman" w:hAnsi="Times New Roman" w:cs="Times New Roman"/>
          <w:sz w:val="24"/>
          <w:szCs w:val="24"/>
          <w:lang w:val="en-GB"/>
        </w:rPr>
        <w:t>. Cambridge: Cambridge University Press. (</w:t>
      </w:r>
      <w:r w:rsidRPr="00060E7A">
        <w:rPr>
          <w:rFonts w:ascii="Times New Roman" w:hAnsi="Times New Roman" w:cs="Times New Roman"/>
          <w:i/>
          <w:iCs/>
          <w:sz w:val="24"/>
          <w:szCs w:val="24"/>
          <w:lang w:val="en-GB"/>
        </w:rPr>
        <w:t>Vad bör staten göra?</w:t>
      </w:r>
      <w:r w:rsidRPr="00060E7A">
        <w:rPr>
          <w:rFonts w:ascii="Times New Roman" w:hAnsi="Times New Roman" w:cs="Times New Roman"/>
          <w:sz w:val="24"/>
          <w:szCs w:val="24"/>
          <w:lang w:val="en-GB"/>
        </w:rPr>
        <w:t>. Stockholm: SNS Förlag. 1993).</w:t>
      </w:r>
    </w:p>
    <w:p w:rsidR="001F3255" w:rsidRPr="00060E7A" w:rsidRDefault="001F3255" w:rsidP="00086194">
      <w:pPr>
        <w:spacing w:after="0" w:line="240" w:lineRule="auto"/>
        <w:ind w:left="567" w:hanging="567"/>
        <w:rPr>
          <w:rFonts w:ascii="Times New Roman" w:hAnsi="Times New Roman" w:cs="Times New Roman"/>
          <w:sz w:val="24"/>
          <w:szCs w:val="24"/>
          <w:lang w:val="en-GB"/>
        </w:rPr>
      </w:pPr>
    </w:p>
    <w:sectPr w:rsidR="001F3255" w:rsidRPr="00060E7A" w:rsidSect="00A00127">
      <w:headerReference w:type="default" r:id="rId20"/>
      <w:footerReference w:type="default" r:id="rId21"/>
      <w:endnotePr>
        <w:numFmt w:val="decimal"/>
      </w:endnotePr>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C1" w:rsidRDefault="00B205C1" w:rsidP="00F5594A">
      <w:pPr>
        <w:spacing w:after="0" w:line="240" w:lineRule="auto"/>
      </w:pPr>
      <w:r>
        <w:separator/>
      </w:r>
    </w:p>
  </w:endnote>
  <w:endnote w:type="continuationSeparator" w:id="0">
    <w:p w:rsidR="00B205C1" w:rsidRDefault="00B205C1" w:rsidP="00F5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91767"/>
      <w:docPartObj>
        <w:docPartGallery w:val="Page Numbers (Bottom of Page)"/>
        <w:docPartUnique/>
      </w:docPartObj>
    </w:sdtPr>
    <w:sdtEndPr/>
    <w:sdtContent>
      <w:p w:rsidR="00EC53FD" w:rsidRDefault="00EC53FD">
        <w:pPr>
          <w:pStyle w:val="Footer"/>
          <w:jc w:val="center"/>
        </w:pPr>
        <w:r>
          <w:fldChar w:fldCharType="begin"/>
        </w:r>
        <w:r>
          <w:instrText xml:space="preserve"> PAGE   \* MERGEFORMAT </w:instrText>
        </w:r>
        <w:r>
          <w:fldChar w:fldCharType="separate"/>
        </w:r>
        <w:r w:rsidR="007A444C">
          <w:rPr>
            <w:noProof/>
          </w:rPr>
          <w:t>1</w:t>
        </w:r>
        <w:r>
          <w:rPr>
            <w:noProof/>
          </w:rPr>
          <w:fldChar w:fldCharType="end"/>
        </w:r>
      </w:p>
    </w:sdtContent>
  </w:sdt>
  <w:p w:rsidR="00EC53FD" w:rsidRDefault="00EC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C1" w:rsidRDefault="00B205C1" w:rsidP="00F5594A">
      <w:pPr>
        <w:spacing w:after="0" w:line="240" w:lineRule="auto"/>
      </w:pPr>
      <w:r>
        <w:separator/>
      </w:r>
    </w:p>
  </w:footnote>
  <w:footnote w:type="continuationSeparator" w:id="0">
    <w:p w:rsidR="00B205C1" w:rsidRDefault="00B205C1" w:rsidP="00F5594A">
      <w:pPr>
        <w:spacing w:after="0" w:line="240" w:lineRule="auto"/>
      </w:pPr>
      <w:r>
        <w:continuationSeparator/>
      </w:r>
    </w:p>
  </w:footnote>
  <w:footnote w:id="1">
    <w:p w:rsidR="00EC53FD" w:rsidRPr="00060E7A" w:rsidRDefault="00EC53FD" w:rsidP="00D5750A">
      <w:pPr>
        <w:pStyle w:val="FootnoteText"/>
        <w:rPr>
          <w:rFonts w:ascii="Times New Roman" w:hAnsi="Times New Roman" w:cs="Times New Roman"/>
        </w:rPr>
      </w:pPr>
      <w:r w:rsidRPr="00D5750A">
        <w:rPr>
          <w:rStyle w:val="FootnoteReference"/>
          <w:rFonts w:ascii="Times New Roman" w:hAnsi="Times New Roman" w:cs="Times New Roman"/>
        </w:rPr>
        <w:footnoteRef/>
      </w:r>
      <w:r w:rsidRPr="00D5750A">
        <w:rPr>
          <w:rFonts w:ascii="Times New Roman" w:hAnsi="Times New Roman" w:cs="Times New Roman"/>
        </w:rPr>
        <w:t xml:space="preserve"> By 2015 this position is probably passed on to another Nordic country, Finland, due to Finland’s problem of recovering from economic slump.</w:t>
      </w:r>
    </w:p>
  </w:footnote>
  <w:footnote w:id="2">
    <w:p w:rsidR="00EC53FD" w:rsidRPr="00DB4026" w:rsidRDefault="00EC53FD" w:rsidP="00646B0D">
      <w:pPr>
        <w:pStyle w:val="FootnoteText"/>
        <w:rPr>
          <w:rFonts w:ascii="Times New Roman" w:hAnsi="Times New Roman" w:cs="Times New Roman"/>
        </w:rPr>
      </w:pPr>
      <w:r w:rsidRPr="00DB4026">
        <w:rPr>
          <w:rStyle w:val="FootnoteReference"/>
          <w:rFonts w:ascii="Times New Roman" w:hAnsi="Times New Roman" w:cs="Times New Roman"/>
        </w:rPr>
        <w:footnoteRef/>
      </w:r>
      <w:r w:rsidRPr="00DB4026">
        <w:rPr>
          <w:rFonts w:ascii="Times New Roman" w:hAnsi="Times New Roman" w:cs="Times New Roman"/>
        </w:rPr>
        <w:t xml:space="preserve">  2014 was extraordinary since the government provided opportunities for withdrawing savings from a so-called capital pension scheme, or changing the capital pension into another pension scheme, with (reduced) tax payments here and now, resulting in a budget surplus of 1.2 per cent of GDP. As regards gross public expenditure (“total outlays”),Denmark only topped among OECD countries </w:t>
      </w:r>
      <w:r>
        <w:rPr>
          <w:rFonts w:ascii="Times New Roman" w:hAnsi="Times New Roman" w:cs="Times New Roman"/>
        </w:rPr>
        <w:t xml:space="preserve">twice, </w:t>
      </w:r>
      <w:r w:rsidRPr="00DB4026">
        <w:rPr>
          <w:rFonts w:ascii="Times New Roman" w:hAnsi="Times New Roman" w:cs="Times New Roman"/>
        </w:rPr>
        <w:t>in 2011 and 2012. More generally, when the Danish figures are compared to other countries, it should be noted that Denmark had a persistent budget surplus preceding the great recession, peaking at 5.0 per cent of GDP 2005-2007 (OECD, 2015, Annex table 27). Besides, as revealed by OECD’s calculations of net social expenditures, the figures for the Nordic countries are inflated by the fact that cash benefits for income replacement (unemployment benefits, social assistance, pensions etc.) are fully taxed (in the Danish case with a small exception of a tax deductible so-called “labour mar</w:t>
      </w:r>
      <w:r>
        <w:rPr>
          <w:rFonts w:ascii="Times New Roman" w:hAnsi="Times New Roman" w:cs="Times New Roman"/>
        </w:rPr>
        <w:t xml:space="preserve">ket contribution” of 8 per cent – de </w:t>
      </w:r>
      <w:r w:rsidRPr="00DB4026">
        <w:rPr>
          <w:rFonts w:ascii="Times New Roman" w:hAnsi="Times New Roman" w:cs="Times New Roman"/>
        </w:rPr>
        <w:t>facto a gross tax rather than a social contribution). Finally, the large increase in Danish taxes and public expenditure during the great recession is mainly due to negative and/or zero GDP growth – where Denmark experienced a cumulative setback vis-à-vis Sweden of some 10 per cent from 2008 to 2014. This is also the case with Finland which became the country with the highest government outlays from 2013 and the highest taxes from 2015. Finland suffered larger and much more severe economic problems from 2008 onwards than Denmark because the country’s exports have failed.</w:t>
      </w:r>
    </w:p>
  </w:footnote>
  <w:footnote w:id="3">
    <w:p w:rsidR="00EC53FD" w:rsidRPr="00DB4026" w:rsidRDefault="00EC53FD" w:rsidP="00D638F0">
      <w:pPr>
        <w:pStyle w:val="FootnoteText"/>
        <w:rPr>
          <w:rFonts w:ascii="Times New Roman" w:hAnsi="Times New Roman" w:cs="Times New Roman"/>
        </w:rPr>
      </w:pPr>
      <w:r w:rsidRPr="00DB4026">
        <w:rPr>
          <w:rStyle w:val="FootnoteReference"/>
          <w:rFonts w:ascii="Times New Roman" w:hAnsi="Times New Roman" w:cs="Times New Roman"/>
        </w:rPr>
        <w:footnoteRef/>
      </w:r>
      <w:r w:rsidRPr="00DB4026">
        <w:rPr>
          <w:rFonts w:ascii="Times New Roman" w:hAnsi="Times New Roman" w:cs="Times New Roman"/>
        </w:rPr>
        <w:t xml:space="preserve"> In 2012, the deficit reached 3.7 per cent of GDP</w:t>
      </w:r>
      <w:r>
        <w:rPr>
          <w:rFonts w:ascii="Times New Roman" w:hAnsi="Times New Roman" w:cs="Times New Roman"/>
        </w:rPr>
        <w:t xml:space="preserve"> because of repayments of contributions to a </w:t>
      </w:r>
      <w:r w:rsidRPr="00DB4026">
        <w:rPr>
          <w:rFonts w:ascii="Times New Roman" w:hAnsi="Times New Roman" w:cs="Times New Roman"/>
        </w:rPr>
        <w:t xml:space="preserve">voluntary early retirement </w:t>
      </w:r>
      <w:r>
        <w:rPr>
          <w:rFonts w:ascii="Times New Roman" w:hAnsi="Times New Roman" w:cs="Times New Roman"/>
        </w:rPr>
        <w:t>scheme which had been significantly cut. In return, people could claim their contributions back</w:t>
      </w:r>
      <w:r w:rsidRPr="00DB4026">
        <w:rPr>
          <w:rFonts w:ascii="Times New Roman" w:hAnsi="Times New Roman" w:cs="Times New Roman"/>
        </w:rPr>
        <w:t xml:space="preserve">.   </w:t>
      </w:r>
    </w:p>
  </w:footnote>
  <w:footnote w:id="4">
    <w:p w:rsidR="00EC53FD" w:rsidRPr="00DB4026" w:rsidRDefault="00EC53FD" w:rsidP="00D95423">
      <w:pPr>
        <w:pStyle w:val="FootnoteText"/>
        <w:rPr>
          <w:rFonts w:ascii="Times New Roman" w:hAnsi="Times New Roman" w:cs="Times New Roman"/>
        </w:rPr>
      </w:pPr>
      <w:r w:rsidRPr="00DB4026">
        <w:rPr>
          <w:rStyle w:val="FootnoteReference"/>
          <w:rFonts w:ascii="Times New Roman" w:hAnsi="Times New Roman" w:cs="Times New Roman"/>
        </w:rPr>
        <w:footnoteRef/>
      </w:r>
      <w:r w:rsidRPr="00DB4026">
        <w:rPr>
          <w:rFonts w:ascii="Times New Roman" w:hAnsi="Times New Roman" w:cs="Times New Roman"/>
        </w:rPr>
        <w:t xml:space="preserve"> Due to over-heating of the economy, there was a negligible deficit in 1998.</w:t>
      </w:r>
    </w:p>
  </w:footnote>
  <w:footnote w:id="5">
    <w:p w:rsidR="00EC53FD" w:rsidRPr="00DB4026" w:rsidRDefault="00EC53FD" w:rsidP="00D95423">
      <w:pPr>
        <w:pStyle w:val="FootnoteText"/>
        <w:rPr>
          <w:rFonts w:ascii="Times New Roman" w:hAnsi="Times New Roman" w:cs="Times New Roman"/>
        </w:rPr>
      </w:pPr>
      <w:r w:rsidRPr="00DB4026">
        <w:rPr>
          <w:rStyle w:val="FootnoteReference"/>
          <w:rFonts w:ascii="Times New Roman" w:hAnsi="Times New Roman" w:cs="Times New Roman"/>
        </w:rPr>
        <w:footnoteRef/>
      </w:r>
      <w:r w:rsidRPr="00DB4026">
        <w:rPr>
          <w:rFonts w:ascii="Times New Roman" w:hAnsi="Times New Roman" w:cs="Times New Roman"/>
        </w:rPr>
        <w:t xml:space="preserve"> The current account surplus was affected by oil revenues from the North Sea, by very low levels of private consumption and investments, and by revenues from considerable net investments abroad (after decades of foreign debt, Denmark’s NIIP (Net International Investment Position) turned positive just before the crisis; by 2015, NIIP had grown to about 40 per cent of GDP. However, even though the size of the surplus may be temporary, it remains that oil production had peaked in 2004 and oil revenues shortly after that. The gains from a positive NIIP are considerable, but are by their very nature likely to be enduring, at least for a long time.</w:t>
      </w:r>
    </w:p>
  </w:footnote>
  <w:footnote w:id="6">
    <w:p w:rsidR="00EC53FD" w:rsidRPr="00DB4026" w:rsidRDefault="00EC53FD" w:rsidP="00DB4026">
      <w:pPr>
        <w:pStyle w:val="FootnoteText"/>
        <w:rPr>
          <w:rFonts w:ascii="Times New Roman" w:hAnsi="Times New Roman" w:cs="Times New Roman"/>
        </w:rPr>
      </w:pPr>
      <w:r w:rsidRPr="00DB4026">
        <w:rPr>
          <w:rStyle w:val="FootnoteReference"/>
          <w:rFonts w:ascii="Times New Roman" w:hAnsi="Times New Roman" w:cs="Times New Roman"/>
        </w:rPr>
        <w:footnoteRef/>
      </w:r>
      <w:r w:rsidRPr="00DB4026">
        <w:rPr>
          <w:rFonts w:ascii="Times New Roman" w:hAnsi="Times New Roman" w:cs="Times New Roman"/>
        </w:rPr>
        <w:t xml:space="preserve"> This figure is corrected for the 1994 tax reform which changed several cash benefits to taxable income but increased the benefits correspondingly.</w:t>
      </w:r>
    </w:p>
  </w:footnote>
  <w:footnote w:id="7">
    <w:p w:rsidR="00EC53FD" w:rsidRPr="00DC7859" w:rsidRDefault="00EC53FD" w:rsidP="00A17790">
      <w:pPr>
        <w:pStyle w:val="FootnoteText"/>
        <w:rPr>
          <w:rFonts w:ascii="Times New Roman" w:hAnsi="Times New Roman" w:cs="Times New Roman"/>
        </w:rPr>
      </w:pPr>
      <w:r w:rsidRPr="00DC7859">
        <w:rPr>
          <w:rStyle w:val="FootnoteReference"/>
          <w:rFonts w:ascii="Times New Roman" w:hAnsi="Times New Roman" w:cs="Times New Roman"/>
        </w:rPr>
        <w:footnoteRef/>
      </w:r>
      <w:r w:rsidRPr="00DC7859">
        <w:rPr>
          <w:rFonts w:ascii="Times New Roman" w:hAnsi="Times New Roman" w:cs="Times New Roman"/>
        </w:rPr>
        <w:t xml:space="preserve">  Unfortunately there are no Danish data on political trust from the 2007 election survey until May/June 2011, shortly before the 2011 election. However, Eurobarometer data on trust in the national government reveal a significant decline during 2010, roughly coinciding with the political turn towards a harsh retrenchment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FD" w:rsidRPr="00A95279" w:rsidRDefault="00EC53FD" w:rsidP="00FC5F93">
    <w:pPr>
      <w:pStyle w:val="Header"/>
      <w:jc w:val="right"/>
      <w:rPr>
        <w:rFonts w:ascii="Arial Narrow" w:hAnsi="Arial Narrow"/>
        <w:sz w:val="16"/>
        <w:szCs w:val="16"/>
        <w:lang w:val="da-DK"/>
      </w:rPr>
    </w:pPr>
    <w:r>
      <w:rPr>
        <w:rFonts w:ascii="Arial Narrow" w:hAnsi="Arial Narrow"/>
        <w:sz w:val="16"/>
        <w:szCs w:val="16"/>
        <w:lang w:val="da-DK"/>
      </w:rPr>
      <w:t>Welfare futures Denmark.26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029"/>
    <w:multiLevelType w:val="multilevel"/>
    <w:tmpl w:val="9F36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4FDE"/>
    <w:multiLevelType w:val="hybridMultilevel"/>
    <w:tmpl w:val="57CC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A2318"/>
    <w:multiLevelType w:val="hybridMultilevel"/>
    <w:tmpl w:val="234E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81C5E"/>
    <w:multiLevelType w:val="hybridMultilevel"/>
    <w:tmpl w:val="778247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7F523E"/>
    <w:multiLevelType w:val="hybridMultilevel"/>
    <w:tmpl w:val="BE28AD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F8E3E0F"/>
    <w:multiLevelType w:val="multilevel"/>
    <w:tmpl w:val="FF50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48"/>
    <w:rsid w:val="00000CA5"/>
    <w:rsid w:val="00001DCA"/>
    <w:rsid w:val="000060D3"/>
    <w:rsid w:val="000115D9"/>
    <w:rsid w:val="0003721B"/>
    <w:rsid w:val="000374CF"/>
    <w:rsid w:val="00042B23"/>
    <w:rsid w:val="000456DA"/>
    <w:rsid w:val="000510E0"/>
    <w:rsid w:val="00052136"/>
    <w:rsid w:val="0005699A"/>
    <w:rsid w:val="00060337"/>
    <w:rsid w:val="00060E7A"/>
    <w:rsid w:val="0007054B"/>
    <w:rsid w:val="00086194"/>
    <w:rsid w:val="000D02BB"/>
    <w:rsid w:val="000D0FB2"/>
    <w:rsid w:val="000E69A7"/>
    <w:rsid w:val="000F4C7C"/>
    <w:rsid w:val="000F69F6"/>
    <w:rsid w:val="00102671"/>
    <w:rsid w:val="001142D6"/>
    <w:rsid w:val="00115E8C"/>
    <w:rsid w:val="00120961"/>
    <w:rsid w:val="001212F3"/>
    <w:rsid w:val="00126936"/>
    <w:rsid w:val="00131CB9"/>
    <w:rsid w:val="001521C0"/>
    <w:rsid w:val="0016167F"/>
    <w:rsid w:val="00161F6C"/>
    <w:rsid w:val="001639C9"/>
    <w:rsid w:val="00163F47"/>
    <w:rsid w:val="00173248"/>
    <w:rsid w:val="001900CE"/>
    <w:rsid w:val="001A78E7"/>
    <w:rsid w:val="001C5907"/>
    <w:rsid w:val="001D66E6"/>
    <w:rsid w:val="001E6EC9"/>
    <w:rsid w:val="001F3255"/>
    <w:rsid w:val="00202B91"/>
    <w:rsid w:val="00214236"/>
    <w:rsid w:val="00222238"/>
    <w:rsid w:val="00226B31"/>
    <w:rsid w:val="0022742F"/>
    <w:rsid w:val="0023586A"/>
    <w:rsid w:val="002437FA"/>
    <w:rsid w:val="00251038"/>
    <w:rsid w:val="00262F77"/>
    <w:rsid w:val="00263498"/>
    <w:rsid w:val="00272C0A"/>
    <w:rsid w:val="00277EDC"/>
    <w:rsid w:val="00287394"/>
    <w:rsid w:val="002947C2"/>
    <w:rsid w:val="002A3FC1"/>
    <w:rsid w:val="002A6290"/>
    <w:rsid w:val="002B420C"/>
    <w:rsid w:val="002C48B9"/>
    <w:rsid w:val="002D285E"/>
    <w:rsid w:val="002D2909"/>
    <w:rsid w:val="002E1FDD"/>
    <w:rsid w:val="002E2B7E"/>
    <w:rsid w:val="003109D9"/>
    <w:rsid w:val="0031416B"/>
    <w:rsid w:val="00315A26"/>
    <w:rsid w:val="003169EB"/>
    <w:rsid w:val="00317276"/>
    <w:rsid w:val="00320B7F"/>
    <w:rsid w:val="003305FF"/>
    <w:rsid w:val="0033147E"/>
    <w:rsid w:val="00337B82"/>
    <w:rsid w:val="00351DB6"/>
    <w:rsid w:val="00361318"/>
    <w:rsid w:val="00370E22"/>
    <w:rsid w:val="0037532F"/>
    <w:rsid w:val="003A0F15"/>
    <w:rsid w:val="003A67D1"/>
    <w:rsid w:val="003C6D16"/>
    <w:rsid w:val="003C7D79"/>
    <w:rsid w:val="003E41D7"/>
    <w:rsid w:val="003F74FA"/>
    <w:rsid w:val="0043355A"/>
    <w:rsid w:val="00450C8A"/>
    <w:rsid w:val="0045276B"/>
    <w:rsid w:val="00474754"/>
    <w:rsid w:val="00480580"/>
    <w:rsid w:val="00482B05"/>
    <w:rsid w:val="00484312"/>
    <w:rsid w:val="004B1548"/>
    <w:rsid w:val="004B4FF2"/>
    <w:rsid w:val="004E46C0"/>
    <w:rsid w:val="004E72AE"/>
    <w:rsid w:val="004F048D"/>
    <w:rsid w:val="004F2CC7"/>
    <w:rsid w:val="00501619"/>
    <w:rsid w:val="00506B27"/>
    <w:rsid w:val="00510A4A"/>
    <w:rsid w:val="00516002"/>
    <w:rsid w:val="00523663"/>
    <w:rsid w:val="00533408"/>
    <w:rsid w:val="00537F9C"/>
    <w:rsid w:val="00541033"/>
    <w:rsid w:val="0055370A"/>
    <w:rsid w:val="005541D4"/>
    <w:rsid w:val="00565387"/>
    <w:rsid w:val="005710E9"/>
    <w:rsid w:val="0059251F"/>
    <w:rsid w:val="005A3F77"/>
    <w:rsid w:val="005C2954"/>
    <w:rsid w:val="005C7FCC"/>
    <w:rsid w:val="005D1B79"/>
    <w:rsid w:val="005D225B"/>
    <w:rsid w:val="005D4353"/>
    <w:rsid w:val="005F0D81"/>
    <w:rsid w:val="006021C1"/>
    <w:rsid w:val="00606A4A"/>
    <w:rsid w:val="00622F7F"/>
    <w:rsid w:val="00623B4B"/>
    <w:rsid w:val="00623B6F"/>
    <w:rsid w:val="00632219"/>
    <w:rsid w:val="00632F57"/>
    <w:rsid w:val="00646B0D"/>
    <w:rsid w:val="00654484"/>
    <w:rsid w:val="00660AAA"/>
    <w:rsid w:val="0067110F"/>
    <w:rsid w:val="0067223D"/>
    <w:rsid w:val="006A7DDB"/>
    <w:rsid w:val="006C2207"/>
    <w:rsid w:val="006C7DD0"/>
    <w:rsid w:val="006C7E3E"/>
    <w:rsid w:val="006D70AD"/>
    <w:rsid w:val="006F2791"/>
    <w:rsid w:val="006F3BEB"/>
    <w:rsid w:val="007117A6"/>
    <w:rsid w:val="00713115"/>
    <w:rsid w:val="0072065F"/>
    <w:rsid w:val="00720EF2"/>
    <w:rsid w:val="007250D5"/>
    <w:rsid w:val="00726F5A"/>
    <w:rsid w:val="00733032"/>
    <w:rsid w:val="007451C3"/>
    <w:rsid w:val="00745943"/>
    <w:rsid w:val="00752F8B"/>
    <w:rsid w:val="0076319D"/>
    <w:rsid w:val="00774FF9"/>
    <w:rsid w:val="00781740"/>
    <w:rsid w:val="00782624"/>
    <w:rsid w:val="007842E9"/>
    <w:rsid w:val="00790110"/>
    <w:rsid w:val="0079358F"/>
    <w:rsid w:val="007A444C"/>
    <w:rsid w:val="007B0270"/>
    <w:rsid w:val="007B5C18"/>
    <w:rsid w:val="007D084C"/>
    <w:rsid w:val="00805F23"/>
    <w:rsid w:val="00810731"/>
    <w:rsid w:val="00814782"/>
    <w:rsid w:val="00830E18"/>
    <w:rsid w:val="008460BB"/>
    <w:rsid w:val="00875A28"/>
    <w:rsid w:val="00876B3F"/>
    <w:rsid w:val="00876C9E"/>
    <w:rsid w:val="00882359"/>
    <w:rsid w:val="00883270"/>
    <w:rsid w:val="008A4F22"/>
    <w:rsid w:val="008B0873"/>
    <w:rsid w:val="008E7C2D"/>
    <w:rsid w:val="00922E74"/>
    <w:rsid w:val="009378F9"/>
    <w:rsid w:val="00940C47"/>
    <w:rsid w:val="009567EE"/>
    <w:rsid w:val="009615DD"/>
    <w:rsid w:val="009650A9"/>
    <w:rsid w:val="0098776D"/>
    <w:rsid w:val="009A589E"/>
    <w:rsid w:val="009B0738"/>
    <w:rsid w:val="009C0C45"/>
    <w:rsid w:val="009C3E8B"/>
    <w:rsid w:val="009E540C"/>
    <w:rsid w:val="00A00127"/>
    <w:rsid w:val="00A01510"/>
    <w:rsid w:val="00A02F01"/>
    <w:rsid w:val="00A17790"/>
    <w:rsid w:val="00A2161F"/>
    <w:rsid w:val="00A22A9C"/>
    <w:rsid w:val="00A33DA0"/>
    <w:rsid w:val="00A35D91"/>
    <w:rsid w:val="00A369CB"/>
    <w:rsid w:val="00A52C4A"/>
    <w:rsid w:val="00A5484B"/>
    <w:rsid w:val="00A610ED"/>
    <w:rsid w:val="00A61C18"/>
    <w:rsid w:val="00A63226"/>
    <w:rsid w:val="00A81215"/>
    <w:rsid w:val="00A848D9"/>
    <w:rsid w:val="00A84F90"/>
    <w:rsid w:val="00A9251A"/>
    <w:rsid w:val="00A95279"/>
    <w:rsid w:val="00AA4231"/>
    <w:rsid w:val="00AA584F"/>
    <w:rsid w:val="00AA631B"/>
    <w:rsid w:val="00AB5598"/>
    <w:rsid w:val="00AD3E9A"/>
    <w:rsid w:val="00AE2AA4"/>
    <w:rsid w:val="00AF21AB"/>
    <w:rsid w:val="00AF2D54"/>
    <w:rsid w:val="00B205C1"/>
    <w:rsid w:val="00B42A10"/>
    <w:rsid w:val="00B44410"/>
    <w:rsid w:val="00B67D2C"/>
    <w:rsid w:val="00B75093"/>
    <w:rsid w:val="00B778E4"/>
    <w:rsid w:val="00B97765"/>
    <w:rsid w:val="00BA33DC"/>
    <w:rsid w:val="00BA7A44"/>
    <w:rsid w:val="00BA7F2D"/>
    <w:rsid w:val="00BC78A8"/>
    <w:rsid w:val="00BD5166"/>
    <w:rsid w:val="00BD5341"/>
    <w:rsid w:val="00BD61D3"/>
    <w:rsid w:val="00BE12B7"/>
    <w:rsid w:val="00BE30EF"/>
    <w:rsid w:val="00BF05E1"/>
    <w:rsid w:val="00C215AF"/>
    <w:rsid w:val="00C24D3F"/>
    <w:rsid w:val="00C25B94"/>
    <w:rsid w:val="00C308AF"/>
    <w:rsid w:val="00C424DE"/>
    <w:rsid w:val="00C5544C"/>
    <w:rsid w:val="00C61789"/>
    <w:rsid w:val="00C82052"/>
    <w:rsid w:val="00C851CB"/>
    <w:rsid w:val="00C966F1"/>
    <w:rsid w:val="00CB10D9"/>
    <w:rsid w:val="00CB289F"/>
    <w:rsid w:val="00CC21C1"/>
    <w:rsid w:val="00CC7F24"/>
    <w:rsid w:val="00CD1792"/>
    <w:rsid w:val="00CE0DAD"/>
    <w:rsid w:val="00CE182A"/>
    <w:rsid w:val="00CF1CB1"/>
    <w:rsid w:val="00CF6BB4"/>
    <w:rsid w:val="00D03D04"/>
    <w:rsid w:val="00D12401"/>
    <w:rsid w:val="00D22F99"/>
    <w:rsid w:val="00D478D2"/>
    <w:rsid w:val="00D5750A"/>
    <w:rsid w:val="00D638F0"/>
    <w:rsid w:val="00D73DF9"/>
    <w:rsid w:val="00D95423"/>
    <w:rsid w:val="00DA32F6"/>
    <w:rsid w:val="00DB4026"/>
    <w:rsid w:val="00DC7859"/>
    <w:rsid w:val="00DC7A20"/>
    <w:rsid w:val="00DD7ECC"/>
    <w:rsid w:val="00DE16DC"/>
    <w:rsid w:val="00DE1CE0"/>
    <w:rsid w:val="00DF0779"/>
    <w:rsid w:val="00E07B61"/>
    <w:rsid w:val="00E15A2A"/>
    <w:rsid w:val="00E219D7"/>
    <w:rsid w:val="00E24B4E"/>
    <w:rsid w:val="00E27FB6"/>
    <w:rsid w:val="00E40C78"/>
    <w:rsid w:val="00E419D7"/>
    <w:rsid w:val="00E44380"/>
    <w:rsid w:val="00E52625"/>
    <w:rsid w:val="00E56F33"/>
    <w:rsid w:val="00E86303"/>
    <w:rsid w:val="00EA0EB8"/>
    <w:rsid w:val="00EA21EC"/>
    <w:rsid w:val="00EB0148"/>
    <w:rsid w:val="00EC3762"/>
    <w:rsid w:val="00EC53FD"/>
    <w:rsid w:val="00ED40B8"/>
    <w:rsid w:val="00EF6615"/>
    <w:rsid w:val="00F00D7C"/>
    <w:rsid w:val="00F16864"/>
    <w:rsid w:val="00F2098B"/>
    <w:rsid w:val="00F41DA4"/>
    <w:rsid w:val="00F541C4"/>
    <w:rsid w:val="00F5594A"/>
    <w:rsid w:val="00F5609C"/>
    <w:rsid w:val="00F809D7"/>
    <w:rsid w:val="00F86375"/>
    <w:rsid w:val="00F9346A"/>
    <w:rsid w:val="00F955C4"/>
    <w:rsid w:val="00FA71BE"/>
    <w:rsid w:val="00FB199E"/>
    <w:rsid w:val="00FC05EC"/>
    <w:rsid w:val="00FC554F"/>
    <w:rsid w:val="00FC5F93"/>
    <w:rsid w:val="00FD243C"/>
    <w:rsid w:val="00FE2655"/>
    <w:rsid w:val="00FE3A02"/>
    <w:rsid w:val="00FE546E"/>
    <w:rsid w:val="00FE62C5"/>
    <w:rsid w:val="00FF193B"/>
    <w:rsid w:val="00FF5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E9193C-CA5E-4F52-B7C0-8E92E132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3255"/>
    <w:pPr>
      <w:keepNext/>
      <w:keepLines/>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val="da-DK" w:eastAsia="da-DK"/>
    </w:rPr>
  </w:style>
  <w:style w:type="paragraph" w:styleId="Heading2">
    <w:name w:val="heading 2"/>
    <w:basedOn w:val="Normal"/>
    <w:link w:val="Heading2Char"/>
    <w:uiPriority w:val="9"/>
    <w:qFormat/>
    <w:rsid w:val="001F3255"/>
    <w:pPr>
      <w:spacing w:before="100" w:beforeAutospacing="1" w:after="100" w:afterAutospacing="1" w:line="240" w:lineRule="auto"/>
      <w:outlineLvl w:val="1"/>
    </w:pPr>
    <w:rPr>
      <w:rFonts w:ascii="Times New Roman" w:eastAsia="Times New Roman" w:hAnsi="Times New Roman" w:cs="Times New Roman"/>
      <w:b/>
      <w:bCs/>
      <w:sz w:val="36"/>
      <w:szCs w:val="36"/>
      <w:lang w:val="da-DK" w:eastAsia="da-DK"/>
    </w:rPr>
  </w:style>
  <w:style w:type="paragraph" w:styleId="Heading3">
    <w:name w:val="heading 3"/>
    <w:basedOn w:val="Normal"/>
    <w:link w:val="Heading3Char"/>
    <w:uiPriority w:val="9"/>
    <w:qFormat/>
    <w:rsid w:val="001F3255"/>
    <w:pPr>
      <w:spacing w:before="100" w:beforeAutospacing="1" w:after="100" w:afterAutospacing="1" w:line="240" w:lineRule="auto"/>
      <w:outlineLvl w:val="2"/>
    </w:pPr>
    <w:rPr>
      <w:rFonts w:ascii="Times New Roman" w:eastAsia="Times New Roman" w:hAnsi="Times New Roman" w:cs="Times New Roman"/>
      <w:b/>
      <w:bCs/>
      <w:sz w:val="27"/>
      <w:szCs w:val="27"/>
      <w:lang w:val="da-DK" w:eastAsia="da-DK"/>
    </w:rPr>
  </w:style>
  <w:style w:type="paragraph" w:styleId="Heading4">
    <w:name w:val="heading 4"/>
    <w:basedOn w:val="Normal"/>
    <w:next w:val="Normal"/>
    <w:link w:val="Heading4Char"/>
    <w:semiHidden/>
    <w:unhideWhenUsed/>
    <w:qFormat/>
    <w:rsid w:val="001F3255"/>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0"/>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255"/>
    <w:rPr>
      <w:rFonts w:asciiTheme="majorHAnsi" w:eastAsiaTheme="majorEastAsia" w:hAnsiTheme="majorHAnsi" w:cstheme="majorBidi"/>
      <w:b/>
      <w:bCs/>
      <w:color w:val="365F91" w:themeColor="accent1" w:themeShade="BF"/>
      <w:sz w:val="28"/>
      <w:szCs w:val="28"/>
      <w:lang w:val="da-DK" w:eastAsia="da-DK"/>
    </w:rPr>
  </w:style>
  <w:style w:type="character" w:customStyle="1" w:styleId="Heading2Char">
    <w:name w:val="Heading 2 Char"/>
    <w:basedOn w:val="DefaultParagraphFont"/>
    <w:link w:val="Heading2"/>
    <w:uiPriority w:val="9"/>
    <w:rsid w:val="001F3255"/>
    <w:rPr>
      <w:rFonts w:ascii="Times New Roman" w:eastAsia="Times New Roman" w:hAnsi="Times New Roman" w:cs="Times New Roman"/>
      <w:b/>
      <w:bCs/>
      <w:sz w:val="36"/>
      <w:szCs w:val="36"/>
      <w:lang w:val="da-DK" w:eastAsia="da-DK"/>
    </w:rPr>
  </w:style>
  <w:style w:type="character" w:customStyle="1" w:styleId="Heading3Char">
    <w:name w:val="Heading 3 Char"/>
    <w:basedOn w:val="DefaultParagraphFont"/>
    <w:link w:val="Heading3"/>
    <w:uiPriority w:val="9"/>
    <w:rsid w:val="001F3255"/>
    <w:rPr>
      <w:rFonts w:ascii="Times New Roman" w:eastAsia="Times New Roman" w:hAnsi="Times New Roman" w:cs="Times New Roman"/>
      <w:b/>
      <w:bCs/>
      <w:sz w:val="27"/>
      <w:szCs w:val="27"/>
      <w:lang w:val="da-DK" w:eastAsia="da-DK"/>
    </w:rPr>
  </w:style>
  <w:style w:type="character" w:customStyle="1" w:styleId="Heading4Char">
    <w:name w:val="Heading 4 Char"/>
    <w:basedOn w:val="DefaultParagraphFont"/>
    <w:link w:val="Heading4"/>
    <w:semiHidden/>
    <w:rsid w:val="001F3255"/>
    <w:rPr>
      <w:rFonts w:asciiTheme="majorHAnsi" w:eastAsiaTheme="majorEastAsia" w:hAnsiTheme="majorHAnsi" w:cstheme="majorBidi"/>
      <w:b/>
      <w:bCs/>
      <w:i/>
      <w:iCs/>
      <w:color w:val="4F81BD" w:themeColor="accent1"/>
      <w:sz w:val="20"/>
      <w:szCs w:val="20"/>
      <w:lang w:val="da-DK" w:eastAsia="da-DK"/>
    </w:rPr>
  </w:style>
  <w:style w:type="character" w:styleId="CommentReference">
    <w:name w:val="annotation reference"/>
    <w:basedOn w:val="DefaultParagraphFont"/>
    <w:unhideWhenUsed/>
    <w:rsid w:val="00173248"/>
    <w:rPr>
      <w:sz w:val="16"/>
      <w:szCs w:val="16"/>
    </w:rPr>
  </w:style>
  <w:style w:type="paragraph" w:styleId="CommentText">
    <w:name w:val="annotation text"/>
    <w:basedOn w:val="Normal"/>
    <w:link w:val="CommentTextChar"/>
    <w:unhideWhenUsed/>
    <w:rsid w:val="00173248"/>
    <w:pPr>
      <w:spacing w:line="240" w:lineRule="auto"/>
    </w:pPr>
    <w:rPr>
      <w:sz w:val="20"/>
      <w:szCs w:val="20"/>
    </w:rPr>
  </w:style>
  <w:style w:type="character" w:customStyle="1" w:styleId="CommentTextChar">
    <w:name w:val="Comment Text Char"/>
    <w:basedOn w:val="DefaultParagraphFont"/>
    <w:link w:val="CommentText"/>
    <w:rsid w:val="00173248"/>
    <w:rPr>
      <w:sz w:val="20"/>
      <w:szCs w:val="20"/>
    </w:rPr>
  </w:style>
  <w:style w:type="paragraph" w:styleId="BalloonText">
    <w:name w:val="Balloon Text"/>
    <w:basedOn w:val="Normal"/>
    <w:link w:val="BalloonTextChar"/>
    <w:semiHidden/>
    <w:unhideWhenUsed/>
    <w:rsid w:val="0017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48"/>
    <w:rPr>
      <w:rFonts w:ascii="Tahoma" w:hAnsi="Tahoma" w:cs="Tahoma"/>
      <w:sz w:val="16"/>
      <w:szCs w:val="16"/>
    </w:rPr>
  </w:style>
  <w:style w:type="character" w:styleId="Hyperlink">
    <w:name w:val="Hyperlink"/>
    <w:basedOn w:val="DefaultParagraphFont"/>
    <w:uiPriority w:val="99"/>
    <w:unhideWhenUsed/>
    <w:rsid w:val="00173248"/>
    <w:rPr>
      <w:color w:val="0000FF" w:themeColor="hyperlink"/>
      <w:u w:val="single"/>
    </w:rPr>
  </w:style>
  <w:style w:type="paragraph" w:styleId="EndnoteText">
    <w:name w:val="endnote text"/>
    <w:basedOn w:val="Normal"/>
    <w:link w:val="EndnoteTextChar"/>
    <w:uiPriority w:val="99"/>
    <w:semiHidden/>
    <w:unhideWhenUsed/>
    <w:rsid w:val="00F559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94A"/>
    <w:rPr>
      <w:sz w:val="20"/>
      <w:szCs w:val="20"/>
    </w:rPr>
  </w:style>
  <w:style w:type="character" w:styleId="EndnoteReference">
    <w:name w:val="endnote reference"/>
    <w:basedOn w:val="DefaultParagraphFont"/>
    <w:uiPriority w:val="99"/>
    <w:semiHidden/>
    <w:unhideWhenUsed/>
    <w:rsid w:val="00F5594A"/>
    <w:rPr>
      <w:vertAlign w:val="superscript"/>
    </w:rPr>
  </w:style>
  <w:style w:type="paragraph" w:styleId="Header">
    <w:name w:val="header"/>
    <w:basedOn w:val="Normal"/>
    <w:link w:val="HeaderChar"/>
    <w:unhideWhenUsed/>
    <w:rsid w:val="00E52625"/>
    <w:pPr>
      <w:tabs>
        <w:tab w:val="center" w:pos="4986"/>
        <w:tab w:val="right" w:pos="9972"/>
      </w:tabs>
      <w:spacing w:after="0" w:line="240" w:lineRule="auto"/>
    </w:pPr>
  </w:style>
  <w:style w:type="character" w:customStyle="1" w:styleId="HeaderChar">
    <w:name w:val="Header Char"/>
    <w:basedOn w:val="DefaultParagraphFont"/>
    <w:link w:val="Header"/>
    <w:rsid w:val="00E52625"/>
  </w:style>
  <w:style w:type="paragraph" w:styleId="Footer">
    <w:name w:val="footer"/>
    <w:basedOn w:val="Normal"/>
    <w:link w:val="FooterChar"/>
    <w:unhideWhenUsed/>
    <w:rsid w:val="00E52625"/>
    <w:pPr>
      <w:tabs>
        <w:tab w:val="center" w:pos="4986"/>
        <w:tab w:val="right" w:pos="9972"/>
      </w:tabs>
      <w:spacing w:after="0" w:line="240" w:lineRule="auto"/>
    </w:pPr>
  </w:style>
  <w:style w:type="character" w:customStyle="1" w:styleId="FooterChar">
    <w:name w:val="Footer Char"/>
    <w:basedOn w:val="DefaultParagraphFont"/>
    <w:link w:val="Footer"/>
    <w:uiPriority w:val="99"/>
    <w:rsid w:val="00E52625"/>
  </w:style>
  <w:style w:type="paragraph" w:styleId="ListParagraph">
    <w:name w:val="List Paragraph"/>
    <w:basedOn w:val="Normal"/>
    <w:uiPriority w:val="34"/>
    <w:qFormat/>
    <w:rsid w:val="00A610ED"/>
    <w:pPr>
      <w:ind w:left="720"/>
      <w:contextualSpacing/>
    </w:pPr>
  </w:style>
  <w:style w:type="character" w:styleId="PageNumber">
    <w:name w:val="page number"/>
    <w:basedOn w:val="DefaultParagraphFont"/>
    <w:rsid w:val="001F3255"/>
  </w:style>
  <w:style w:type="table" w:styleId="TableGrid">
    <w:name w:val="Table Grid"/>
    <w:basedOn w:val="TableNormal"/>
    <w:uiPriority w:val="59"/>
    <w:rsid w:val="001F3255"/>
    <w:pPr>
      <w:autoSpaceDE w:val="0"/>
      <w:autoSpaceDN w:val="0"/>
      <w:adjustRightInd w:val="0"/>
      <w:spacing w:after="0" w:line="240" w:lineRule="auto"/>
    </w:pPr>
    <w:rPr>
      <w:rFonts w:ascii="Times New Roman" w:eastAsia="Times New Roman" w:hAnsi="Times New Roman" w:cs="Times New Roman"/>
      <w:sz w:val="20"/>
      <w:szCs w:val="20"/>
      <w:lang w:val="da-DK" w:eastAsia="da-DK" w:bidi="my-M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3255"/>
    <w:rPr>
      <w:color w:val="800080"/>
      <w:u w:val="single"/>
    </w:rPr>
  </w:style>
  <w:style w:type="paragraph" w:styleId="BodyText">
    <w:name w:val="Body Text"/>
    <w:basedOn w:val="Normal"/>
    <w:link w:val="BodyTextChar"/>
    <w:rsid w:val="001F3255"/>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F3255"/>
    <w:rPr>
      <w:rFonts w:ascii="Times New Roman" w:eastAsia="Times New Roman" w:hAnsi="Times New Roman" w:cs="Times New Roman"/>
      <w:sz w:val="28"/>
      <w:szCs w:val="24"/>
    </w:rPr>
  </w:style>
  <w:style w:type="character" w:styleId="Strong">
    <w:name w:val="Strong"/>
    <w:basedOn w:val="DefaultParagraphFont"/>
    <w:qFormat/>
    <w:rsid w:val="001F3255"/>
    <w:rPr>
      <w:b/>
      <w:bCs/>
    </w:rPr>
  </w:style>
  <w:style w:type="paragraph" w:customStyle="1" w:styleId="cauthors">
    <w:name w:val="cauthors"/>
    <w:basedOn w:val="Normal"/>
    <w:rsid w:val="001F3255"/>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pubtype">
    <w:name w:val="pubtype"/>
    <w:basedOn w:val="DefaultParagraphFont"/>
    <w:rsid w:val="001F3255"/>
  </w:style>
  <w:style w:type="character" w:customStyle="1" w:styleId="pubstatus">
    <w:name w:val="pubstatus"/>
    <w:basedOn w:val="DefaultParagraphFont"/>
    <w:rsid w:val="001F3255"/>
  </w:style>
  <w:style w:type="paragraph" w:styleId="NormalWeb">
    <w:name w:val="Normal (Web)"/>
    <w:basedOn w:val="Normal"/>
    <w:rsid w:val="001F3255"/>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Emphasis">
    <w:name w:val="Emphasis"/>
    <w:basedOn w:val="DefaultParagraphFont"/>
    <w:uiPriority w:val="20"/>
    <w:qFormat/>
    <w:rsid w:val="001F3255"/>
    <w:rPr>
      <w:i/>
      <w:iCs/>
    </w:rPr>
  </w:style>
  <w:style w:type="character" w:styleId="HTMLCite">
    <w:name w:val="HTML Cite"/>
    <w:basedOn w:val="DefaultParagraphFont"/>
    <w:rsid w:val="001F3255"/>
    <w:rPr>
      <w:i/>
      <w:iCs/>
    </w:rPr>
  </w:style>
  <w:style w:type="character" w:customStyle="1" w:styleId="formattedisbn13">
    <w:name w:val="formattedisbn13"/>
    <w:basedOn w:val="DefaultParagraphFont"/>
    <w:rsid w:val="001F3255"/>
  </w:style>
  <w:style w:type="paragraph" w:styleId="CommentSubject">
    <w:name w:val="annotation subject"/>
    <w:basedOn w:val="CommentText"/>
    <w:next w:val="CommentText"/>
    <w:link w:val="CommentSubjectChar"/>
    <w:rsid w:val="001F3255"/>
    <w:pPr>
      <w:autoSpaceDE w:val="0"/>
      <w:autoSpaceDN w:val="0"/>
      <w:adjustRightInd w:val="0"/>
      <w:spacing w:after="0"/>
    </w:pPr>
    <w:rPr>
      <w:rFonts w:ascii="Times New Roman" w:eastAsia="Times New Roman" w:hAnsi="Times New Roman" w:cs="Times New Roman"/>
      <w:b/>
      <w:bCs/>
      <w:lang w:val="da-DK" w:eastAsia="da-DK"/>
    </w:rPr>
  </w:style>
  <w:style w:type="character" w:customStyle="1" w:styleId="CommentSubjectChar">
    <w:name w:val="Comment Subject Char"/>
    <w:basedOn w:val="CommentTextChar"/>
    <w:link w:val="CommentSubject"/>
    <w:rsid w:val="001F3255"/>
    <w:rPr>
      <w:rFonts w:ascii="Times New Roman" w:eastAsia="Times New Roman" w:hAnsi="Times New Roman" w:cs="Times New Roman"/>
      <w:b/>
      <w:bCs/>
      <w:sz w:val="20"/>
      <w:szCs w:val="20"/>
      <w:lang w:val="da-DK" w:eastAsia="da-DK"/>
    </w:rPr>
  </w:style>
  <w:style w:type="paragraph" w:customStyle="1" w:styleId="Default">
    <w:name w:val="Default"/>
    <w:rsid w:val="001F3255"/>
    <w:pPr>
      <w:autoSpaceDE w:val="0"/>
      <w:autoSpaceDN w:val="0"/>
      <w:adjustRightInd w:val="0"/>
      <w:spacing w:after="0" w:line="240" w:lineRule="auto"/>
    </w:pPr>
    <w:rPr>
      <w:rFonts w:ascii="Arial" w:eastAsia="Times New Roman" w:hAnsi="Arial" w:cs="Arial"/>
      <w:color w:val="000000"/>
      <w:sz w:val="24"/>
      <w:szCs w:val="24"/>
      <w:lang w:val="da-DK" w:eastAsia="da-DK" w:bidi="my-MM"/>
    </w:rPr>
  </w:style>
  <w:style w:type="character" w:customStyle="1" w:styleId="ptbrand">
    <w:name w:val="ptbrand"/>
    <w:basedOn w:val="DefaultParagraphFont"/>
    <w:rsid w:val="001F3255"/>
  </w:style>
  <w:style w:type="character" w:styleId="FootnoteReference">
    <w:name w:val="footnote reference"/>
    <w:rsid w:val="001F3255"/>
    <w:rPr>
      <w:vertAlign w:val="superscript"/>
    </w:rPr>
  </w:style>
  <w:style w:type="character" w:customStyle="1" w:styleId="st">
    <w:name w:val="st"/>
    <w:basedOn w:val="DefaultParagraphFont"/>
    <w:rsid w:val="001F3255"/>
  </w:style>
  <w:style w:type="character" w:customStyle="1" w:styleId="bylinepipe">
    <w:name w:val="bylinepipe"/>
    <w:basedOn w:val="DefaultParagraphFont"/>
    <w:rsid w:val="001F3255"/>
  </w:style>
  <w:style w:type="paragraph" w:styleId="Title">
    <w:name w:val="Title"/>
    <w:basedOn w:val="Normal"/>
    <w:next w:val="Normal"/>
    <w:link w:val="TitleChar"/>
    <w:qFormat/>
    <w:rsid w:val="001F3255"/>
    <w:pPr>
      <w:spacing w:before="240" w:after="60" w:line="360" w:lineRule="auto"/>
      <w:jc w:val="center"/>
      <w:outlineLvl w:val="0"/>
    </w:pPr>
    <w:rPr>
      <w:rFonts w:ascii="Cambria" w:eastAsia="Times New Roman" w:hAnsi="Cambria" w:cs="Times New Roman"/>
      <w:b/>
      <w:bCs/>
      <w:kern w:val="28"/>
      <w:sz w:val="32"/>
      <w:szCs w:val="32"/>
      <w:lang w:eastAsia="da-DK"/>
    </w:rPr>
  </w:style>
  <w:style w:type="character" w:customStyle="1" w:styleId="TitleChar">
    <w:name w:val="Title Char"/>
    <w:basedOn w:val="DefaultParagraphFont"/>
    <w:link w:val="Title"/>
    <w:rsid w:val="001F3255"/>
    <w:rPr>
      <w:rFonts w:ascii="Cambria" w:eastAsia="Times New Roman" w:hAnsi="Cambria" w:cs="Times New Roman"/>
      <w:b/>
      <w:bCs/>
      <w:kern w:val="28"/>
      <w:sz w:val="32"/>
      <w:szCs w:val="32"/>
      <w:lang w:val="en-US" w:eastAsia="da-DK"/>
    </w:rPr>
  </w:style>
  <w:style w:type="character" w:customStyle="1" w:styleId="authors">
    <w:name w:val="authors"/>
    <w:basedOn w:val="DefaultParagraphFont"/>
    <w:rsid w:val="001F3255"/>
  </w:style>
  <w:style w:type="character" w:customStyle="1" w:styleId="pissn">
    <w:name w:val="pissn"/>
    <w:basedOn w:val="DefaultParagraphFont"/>
    <w:rsid w:val="001F3255"/>
  </w:style>
  <w:style w:type="character" w:customStyle="1" w:styleId="eissn">
    <w:name w:val="eissn"/>
    <w:basedOn w:val="DefaultParagraphFont"/>
    <w:rsid w:val="001F3255"/>
  </w:style>
  <w:style w:type="paragraph" w:styleId="FootnoteText">
    <w:name w:val="footnote text"/>
    <w:basedOn w:val="Normal"/>
    <w:link w:val="FootnoteTextChar"/>
    <w:uiPriority w:val="99"/>
    <w:semiHidden/>
    <w:unhideWhenUsed/>
    <w:rsid w:val="00DE1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1CE0"/>
    <w:rPr>
      <w:sz w:val="20"/>
      <w:szCs w:val="20"/>
    </w:rPr>
  </w:style>
  <w:style w:type="paragraph" w:styleId="TOCHeading">
    <w:name w:val="TOC Heading"/>
    <w:basedOn w:val="Heading1"/>
    <w:next w:val="Normal"/>
    <w:uiPriority w:val="39"/>
    <w:semiHidden/>
    <w:unhideWhenUsed/>
    <w:qFormat/>
    <w:rsid w:val="00086194"/>
    <w:pPr>
      <w:autoSpaceDE/>
      <w:autoSpaceDN/>
      <w:adjustRightInd/>
      <w:spacing w:line="276" w:lineRule="auto"/>
      <w:outlineLvl w:val="9"/>
    </w:pPr>
    <w:rPr>
      <w:lang w:eastAsia="en-US"/>
    </w:rPr>
  </w:style>
  <w:style w:type="paragraph" w:styleId="TOC1">
    <w:name w:val="toc 1"/>
    <w:basedOn w:val="Normal"/>
    <w:next w:val="Normal"/>
    <w:autoRedefine/>
    <w:uiPriority w:val="39"/>
    <w:unhideWhenUsed/>
    <w:qFormat/>
    <w:rsid w:val="00086194"/>
    <w:pPr>
      <w:spacing w:after="100"/>
    </w:pPr>
  </w:style>
  <w:style w:type="paragraph" w:styleId="TOC2">
    <w:name w:val="toc 2"/>
    <w:basedOn w:val="Normal"/>
    <w:next w:val="Normal"/>
    <w:autoRedefine/>
    <w:uiPriority w:val="39"/>
    <w:unhideWhenUsed/>
    <w:qFormat/>
    <w:rsid w:val="00086194"/>
    <w:pPr>
      <w:spacing w:after="100"/>
      <w:ind w:left="220"/>
    </w:pPr>
  </w:style>
  <w:style w:type="paragraph" w:styleId="TOC3">
    <w:name w:val="toc 3"/>
    <w:basedOn w:val="Normal"/>
    <w:next w:val="Normal"/>
    <w:autoRedefine/>
    <w:uiPriority w:val="39"/>
    <w:unhideWhenUsed/>
    <w:qFormat/>
    <w:rsid w:val="00086194"/>
    <w:pPr>
      <w:spacing w:after="100"/>
      <w:ind w:left="440"/>
    </w:pPr>
  </w:style>
  <w:style w:type="paragraph" w:styleId="TOC4">
    <w:name w:val="toc 4"/>
    <w:basedOn w:val="Normal"/>
    <w:next w:val="Normal"/>
    <w:autoRedefine/>
    <w:uiPriority w:val="39"/>
    <w:unhideWhenUsed/>
    <w:rsid w:val="00D95423"/>
    <w:pPr>
      <w:spacing w:after="100"/>
      <w:ind w:left="660"/>
    </w:pPr>
  </w:style>
  <w:style w:type="paragraph" w:styleId="TOC5">
    <w:name w:val="toc 5"/>
    <w:basedOn w:val="Normal"/>
    <w:next w:val="Normal"/>
    <w:autoRedefine/>
    <w:uiPriority w:val="39"/>
    <w:unhideWhenUsed/>
    <w:rsid w:val="00D95423"/>
    <w:pPr>
      <w:spacing w:after="100"/>
      <w:ind w:left="880"/>
    </w:pPr>
  </w:style>
  <w:style w:type="paragraph" w:styleId="TOC6">
    <w:name w:val="toc 6"/>
    <w:basedOn w:val="Normal"/>
    <w:next w:val="Normal"/>
    <w:autoRedefine/>
    <w:uiPriority w:val="39"/>
    <w:unhideWhenUsed/>
    <w:rsid w:val="00D95423"/>
    <w:pPr>
      <w:spacing w:after="100"/>
      <w:ind w:left="1100"/>
    </w:pPr>
  </w:style>
  <w:style w:type="paragraph" w:styleId="TOC7">
    <w:name w:val="toc 7"/>
    <w:basedOn w:val="Normal"/>
    <w:next w:val="Normal"/>
    <w:autoRedefine/>
    <w:uiPriority w:val="39"/>
    <w:unhideWhenUsed/>
    <w:rsid w:val="00D95423"/>
    <w:pPr>
      <w:spacing w:after="100"/>
      <w:ind w:left="1320"/>
    </w:pPr>
  </w:style>
  <w:style w:type="paragraph" w:styleId="TOC8">
    <w:name w:val="toc 8"/>
    <w:basedOn w:val="Normal"/>
    <w:next w:val="Normal"/>
    <w:autoRedefine/>
    <w:uiPriority w:val="39"/>
    <w:unhideWhenUsed/>
    <w:rsid w:val="00D95423"/>
    <w:pPr>
      <w:spacing w:after="100"/>
      <w:ind w:left="1540"/>
    </w:pPr>
  </w:style>
  <w:style w:type="paragraph" w:styleId="TOC9">
    <w:name w:val="toc 9"/>
    <w:basedOn w:val="Normal"/>
    <w:next w:val="Normal"/>
    <w:autoRedefine/>
    <w:uiPriority w:val="39"/>
    <w:unhideWhenUsed/>
    <w:rsid w:val="00D9542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844">
      <w:bodyDiv w:val="1"/>
      <w:marLeft w:val="0"/>
      <w:marRight w:val="0"/>
      <w:marTop w:val="0"/>
      <w:marBottom w:val="0"/>
      <w:divBdr>
        <w:top w:val="none" w:sz="0" w:space="0" w:color="auto"/>
        <w:left w:val="none" w:sz="0" w:space="0" w:color="auto"/>
        <w:bottom w:val="none" w:sz="0" w:space="0" w:color="auto"/>
        <w:right w:val="none" w:sz="0" w:space="0" w:color="auto"/>
      </w:divBdr>
    </w:div>
    <w:div w:id="13195630">
      <w:bodyDiv w:val="1"/>
      <w:marLeft w:val="0"/>
      <w:marRight w:val="0"/>
      <w:marTop w:val="0"/>
      <w:marBottom w:val="0"/>
      <w:divBdr>
        <w:top w:val="none" w:sz="0" w:space="0" w:color="auto"/>
        <w:left w:val="none" w:sz="0" w:space="0" w:color="auto"/>
        <w:bottom w:val="none" w:sz="0" w:space="0" w:color="auto"/>
        <w:right w:val="none" w:sz="0" w:space="0" w:color="auto"/>
      </w:divBdr>
    </w:div>
    <w:div w:id="31882109">
      <w:bodyDiv w:val="1"/>
      <w:marLeft w:val="0"/>
      <w:marRight w:val="0"/>
      <w:marTop w:val="0"/>
      <w:marBottom w:val="0"/>
      <w:divBdr>
        <w:top w:val="none" w:sz="0" w:space="0" w:color="auto"/>
        <w:left w:val="none" w:sz="0" w:space="0" w:color="auto"/>
        <w:bottom w:val="none" w:sz="0" w:space="0" w:color="auto"/>
        <w:right w:val="none" w:sz="0" w:space="0" w:color="auto"/>
      </w:divBdr>
    </w:div>
    <w:div w:id="34736619">
      <w:bodyDiv w:val="1"/>
      <w:marLeft w:val="0"/>
      <w:marRight w:val="0"/>
      <w:marTop w:val="0"/>
      <w:marBottom w:val="0"/>
      <w:divBdr>
        <w:top w:val="none" w:sz="0" w:space="0" w:color="auto"/>
        <w:left w:val="none" w:sz="0" w:space="0" w:color="auto"/>
        <w:bottom w:val="none" w:sz="0" w:space="0" w:color="auto"/>
        <w:right w:val="none" w:sz="0" w:space="0" w:color="auto"/>
      </w:divBdr>
    </w:div>
    <w:div w:id="178810295">
      <w:bodyDiv w:val="1"/>
      <w:marLeft w:val="0"/>
      <w:marRight w:val="0"/>
      <w:marTop w:val="0"/>
      <w:marBottom w:val="0"/>
      <w:divBdr>
        <w:top w:val="none" w:sz="0" w:space="0" w:color="auto"/>
        <w:left w:val="none" w:sz="0" w:space="0" w:color="auto"/>
        <w:bottom w:val="none" w:sz="0" w:space="0" w:color="auto"/>
        <w:right w:val="none" w:sz="0" w:space="0" w:color="auto"/>
      </w:divBdr>
    </w:div>
    <w:div w:id="186069490">
      <w:bodyDiv w:val="1"/>
      <w:marLeft w:val="0"/>
      <w:marRight w:val="0"/>
      <w:marTop w:val="0"/>
      <w:marBottom w:val="0"/>
      <w:divBdr>
        <w:top w:val="none" w:sz="0" w:space="0" w:color="auto"/>
        <w:left w:val="none" w:sz="0" w:space="0" w:color="auto"/>
        <w:bottom w:val="none" w:sz="0" w:space="0" w:color="auto"/>
        <w:right w:val="none" w:sz="0" w:space="0" w:color="auto"/>
      </w:divBdr>
    </w:div>
    <w:div w:id="188689075">
      <w:bodyDiv w:val="1"/>
      <w:marLeft w:val="0"/>
      <w:marRight w:val="0"/>
      <w:marTop w:val="0"/>
      <w:marBottom w:val="0"/>
      <w:divBdr>
        <w:top w:val="none" w:sz="0" w:space="0" w:color="auto"/>
        <w:left w:val="none" w:sz="0" w:space="0" w:color="auto"/>
        <w:bottom w:val="none" w:sz="0" w:space="0" w:color="auto"/>
        <w:right w:val="none" w:sz="0" w:space="0" w:color="auto"/>
      </w:divBdr>
    </w:div>
    <w:div w:id="196355796">
      <w:bodyDiv w:val="1"/>
      <w:marLeft w:val="0"/>
      <w:marRight w:val="0"/>
      <w:marTop w:val="0"/>
      <w:marBottom w:val="0"/>
      <w:divBdr>
        <w:top w:val="none" w:sz="0" w:space="0" w:color="auto"/>
        <w:left w:val="none" w:sz="0" w:space="0" w:color="auto"/>
        <w:bottom w:val="none" w:sz="0" w:space="0" w:color="auto"/>
        <w:right w:val="none" w:sz="0" w:space="0" w:color="auto"/>
      </w:divBdr>
    </w:div>
    <w:div w:id="217130469">
      <w:bodyDiv w:val="1"/>
      <w:marLeft w:val="0"/>
      <w:marRight w:val="0"/>
      <w:marTop w:val="0"/>
      <w:marBottom w:val="0"/>
      <w:divBdr>
        <w:top w:val="none" w:sz="0" w:space="0" w:color="auto"/>
        <w:left w:val="none" w:sz="0" w:space="0" w:color="auto"/>
        <w:bottom w:val="none" w:sz="0" w:space="0" w:color="auto"/>
        <w:right w:val="none" w:sz="0" w:space="0" w:color="auto"/>
      </w:divBdr>
    </w:div>
    <w:div w:id="301812315">
      <w:bodyDiv w:val="1"/>
      <w:marLeft w:val="0"/>
      <w:marRight w:val="0"/>
      <w:marTop w:val="0"/>
      <w:marBottom w:val="0"/>
      <w:divBdr>
        <w:top w:val="none" w:sz="0" w:space="0" w:color="auto"/>
        <w:left w:val="none" w:sz="0" w:space="0" w:color="auto"/>
        <w:bottom w:val="none" w:sz="0" w:space="0" w:color="auto"/>
        <w:right w:val="none" w:sz="0" w:space="0" w:color="auto"/>
      </w:divBdr>
    </w:div>
    <w:div w:id="435098538">
      <w:bodyDiv w:val="1"/>
      <w:marLeft w:val="0"/>
      <w:marRight w:val="0"/>
      <w:marTop w:val="0"/>
      <w:marBottom w:val="0"/>
      <w:divBdr>
        <w:top w:val="none" w:sz="0" w:space="0" w:color="auto"/>
        <w:left w:val="none" w:sz="0" w:space="0" w:color="auto"/>
        <w:bottom w:val="none" w:sz="0" w:space="0" w:color="auto"/>
        <w:right w:val="none" w:sz="0" w:space="0" w:color="auto"/>
      </w:divBdr>
    </w:div>
    <w:div w:id="577634307">
      <w:bodyDiv w:val="1"/>
      <w:marLeft w:val="0"/>
      <w:marRight w:val="0"/>
      <w:marTop w:val="0"/>
      <w:marBottom w:val="0"/>
      <w:divBdr>
        <w:top w:val="none" w:sz="0" w:space="0" w:color="auto"/>
        <w:left w:val="none" w:sz="0" w:space="0" w:color="auto"/>
        <w:bottom w:val="none" w:sz="0" w:space="0" w:color="auto"/>
        <w:right w:val="none" w:sz="0" w:space="0" w:color="auto"/>
      </w:divBdr>
    </w:div>
    <w:div w:id="582450107">
      <w:bodyDiv w:val="1"/>
      <w:marLeft w:val="0"/>
      <w:marRight w:val="0"/>
      <w:marTop w:val="0"/>
      <w:marBottom w:val="0"/>
      <w:divBdr>
        <w:top w:val="none" w:sz="0" w:space="0" w:color="auto"/>
        <w:left w:val="none" w:sz="0" w:space="0" w:color="auto"/>
        <w:bottom w:val="none" w:sz="0" w:space="0" w:color="auto"/>
        <w:right w:val="none" w:sz="0" w:space="0" w:color="auto"/>
      </w:divBdr>
    </w:div>
    <w:div w:id="598028362">
      <w:bodyDiv w:val="1"/>
      <w:marLeft w:val="0"/>
      <w:marRight w:val="0"/>
      <w:marTop w:val="0"/>
      <w:marBottom w:val="0"/>
      <w:divBdr>
        <w:top w:val="none" w:sz="0" w:space="0" w:color="auto"/>
        <w:left w:val="none" w:sz="0" w:space="0" w:color="auto"/>
        <w:bottom w:val="none" w:sz="0" w:space="0" w:color="auto"/>
        <w:right w:val="none" w:sz="0" w:space="0" w:color="auto"/>
      </w:divBdr>
    </w:div>
    <w:div w:id="698166183">
      <w:bodyDiv w:val="1"/>
      <w:marLeft w:val="0"/>
      <w:marRight w:val="0"/>
      <w:marTop w:val="0"/>
      <w:marBottom w:val="0"/>
      <w:divBdr>
        <w:top w:val="none" w:sz="0" w:space="0" w:color="auto"/>
        <w:left w:val="none" w:sz="0" w:space="0" w:color="auto"/>
        <w:bottom w:val="none" w:sz="0" w:space="0" w:color="auto"/>
        <w:right w:val="none" w:sz="0" w:space="0" w:color="auto"/>
      </w:divBdr>
    </w:div>
    <w:div w:id="764809755">
      <w:bodyDiv w:val="1"/>
      <w:marLeft w:val="0"/>
      <w:marRight w:val="0"/>
      <w:marTop w:val="0"/>
      <w:marBottom w:val="0"/>
      <w:divBdr>
        <w:top w:val="none" w:sz="0" w:space="0" w:color="auto"/>
        <w:left w:val="none" w:sz="0" w:space="0" w:color="auto"/>
        <w:bottom w:val="none" w:sz="0" w:space="0" w:color="auto"/>
        <w:right w:val="none" w:sz="0" w:space="0" w:color="auto"/>
      </w:divBdr>
    </w:div>
    <w:div w:id="769349548">
      <w:bodyDiv w:val="1"/>
      <w:marLeft w:val="0"/>
      <w:marRight w:val="0"/>
      <w:marTop w:val="0"/>
      <w:marBottom w:val="0"/>
      <w:divBdr>
        <w:top w:val="none" w:sz="0" w:space="0" w:color="auto"/>
        <w:left w:val="none" w:sz="0" w:space="0" w:color="auto"/>
        <w:bottom w:val="none" w:sz="0" w:space="0" w:color="auto"/>
        <w:right w:val="none" w:sz="0" w:space="0" w:color="auto"/>
      </w:divBdr>
    </w:div>
    <w:div w:id="787044512">
      <w:bodyDiv w:val="1"/>
      <w:marLeft w:val="0"/>
      <w:marRight w:val="0"/>
      <w:marTop w:val="0"/>
      <w:marBottom w:val="0"/>
      <w:divBdr>
        <w:top w:val="none" w:sz="0" w:space="0" w:color="auto"/>
        <w:left w:val="none" w:sz="0" w:space="0" w:color="auto"/>
        <w:bottom w:val="none" w:sz="0" w:space="0" w:color="auto"/>
        <w:right w:val="none" w:sz="0" w:space="0" w:color="auto"/>
      </w:divBdr>
    </w:div>
    <w:div w:id="805121898">
      <w:bodyDiv w:val="1"/>
      <w:marLeft w:val="0"/>
      <w:marRight w:val="0"/>
      <w:marTop w:val="0"/>
      <w:marBottom w:val="0"/>
      <w:divBdr>
        <w:top w:val="none" w:sz="0" w:space="0" w:color="auto"/>
        <w:left w:val="none" w:sz="0" w:space="0" w:color="auto"/>
        <w:bottom w:val="none" w:sz="0" w:space="0" w:color="auto"/>
        <w:right w:val="none" w:sz="0" w:space="0" w:color="auto"/>
      </w:divBdr>
    </w:div>
    <w:div w:id="808012160">
      <w:bodyDiv w:val="1"/>
      <w:marLeft w:val="0"/>
      <w:marRight w:val="0"/>
      <w:marTop w:val="0"/>
      <w:marBottom w:val="0"/>
      <w:divBdr>
        <w:top w:val="none" w:sz="0" w:space="0" w:color="auto"/>
        <w:left w:val="none" w:sz="0" w:space="0" w:color="auto"/>
        <w:bottom w:val="none" w:sz="0" w:space="0" w:color="auto"/>
        <w:right w:val="none" w:sz="0" w:space="0" w:color="auto"/>
      </w:divBdr>
    </w:div>
    <w:div w:id="822089076">
      <w:bodyDiv w:val="1"/>
      <w:marLeft w:val="0"/>
      <w:marRight w:val="0"/>
      <w:marTop w:val="0"/>
      <w:marBottom w:val="0"/>
      <w:divBdr>
        <w:top w:val="none" w:sz="0" w:space="0" w:color="auto"/>
        <w:left w:val="none" w:sz="0" w:space="0" w:color="auto"/>
        <w:bottom w:val="none" w:sz="0" w:space="0" w:color="auto"/>
        <w:right w:val="none" w:sz="0" w:space="0" w:color="auto"/>
      </w:divBdr>
    </w:div>
    <w:div w:id="868841069">
      <w:bodyDiv w:val="1"/>
      <w:marLeft w:val="0"/>
      <w:marRight w:val="0"/>
      <w:marTop w:val="0"/>
      <w:marBottom w:val="0"/>
      <w:divBdr>
        <w:top w:val="none" w:sz="0" w:space="0" w:color="auto"/>
        <w:left w:val="none" w:sz="0" w:space="0" w:color="auto"/>
        <w:bottom w:val="none" w:sz="0" w:space="0" w:color="auto"/>
        <w:right w:val="none" w:sz="0" w:space="0" w:color="auto"/>
      </w:divBdr>
    </w:div>
    <w:div w:id="869798279">
      <w:bodyDiv w:val="1"/>
      <w:marLeft w:val="0"/>
      <w:marRight w:val="0"/>
      <w:marTop w:val="0"/>
      <w:marBottom w:val="0"/>
      <w:divBdr>
        <w:top w:val="none" w:sz="0" w:space="0" w:color="auto"/>
        <w:left w:val="none" w:sz="0" w:space="0" w:color="auto"/>
        <w:bottom w:val="none" w:sz="0" w:space="0" w:color="auto"/>
        <w:right w:val="none" w:sz="0" w:space="0" w:color="auto"/>
      </w:divBdr>
    </w:div>
    <w:div w:id="871308355">
      <w:bodyDiv w:val="1"/>
      <w:marLeft w:val="0"/>
      <w:marRight w:val="0"/>
      <w:marTop w:val="0"/>
      <w:marBottom w:val="0"/>
      <w:divBdr>
        <w:top w:val="none" w:sz="0" w:space="0" w:color="auto"/>
        <w:left w:val="none" w:sz="0" w:space="0" w:color="auto"/>
        <w:bottom w:val="none" w:sz="0" w:space="0" w:color="auto"/>
        <w:right w:val="none" w:sz="0" w:space="0" w:color="auto"/>
      </w:divBdr>
    </w:div>
    <w:div w:id="882407040">
      <w:bodyDiv w:val="1"/>
      <w:marLeft w:val="0"/>
      <w:marRight w:val="0"/>
      <w:marTop w:val="0"/>
      <w:marBottom w:val="0"/>
      <w:divBdr>
        <w:top w:val="none" w:sz="0" w:space="0" w:color="auto"/>
        <w:left w:val="none" w:sz="0" w:space="0" w:color="auto"/>
        <w:bottom w:val="none" w:sz="0" w:space="0" w:color="auto"/>
        <w:right w:val="none" w:sz="0" w:space="0" w:color="auto"/>
      </w:divBdr>
    </w:div>
    <w:div w:id="982613309">
      <w:bodyDiv w:val="1"/>
      <w:marLeft w:val="0"/>
      <w:marRight w:val="0"/>
      <w:marTop w:val="0"/>
      <w:marBottom w:val="0"/>
      <w:divBdr>
        <w:top w:val="none" w:sz="0" w:space="0" w:color="auto"/>
        <w:left w:val="none" w:sz="0" w:space="0" w:color="auto"/>
        <w:bottom w:val="none" w:sz="0" w:space="0" w:color="auto"/>
        <w:right w:val="none" w:sz="0" w:space="0" w:color="auto"/>
      </w:divBdr>
    </w:div>
    <w:div w:id="1028063419">
      <w:bodyDiv w:val="1"/>
      <w:marLeft w:val="0"/>
      <w:marRight w:val="0"/>
      <w:marTop w:val="0"/>
      <w:marBottom w:val="0"/>
      <w:divBdr>
        <w:top w:val="none" w:sz="0" w:space="0" w:color="auto"/>
        <w:left w:val="none" w:sz="0" w:space="0" w:color="auto"/>
        <w:bottom w:val="none" w:sz="0" w:space="0" w:color="auto"/>
        <w:right w:val="none" w:sz="0" w:space="0" w:color="auto"/>
      </w:divBdr>
    </w:div>
    <w:div w:id="1036735069">
      <w:bodyDiv w:val="1"/>
      <w:marLeft w:val="0"/>
      <w:marRight w:val="0"/>
      <w:marTop w:val="0"/>
      <w:marBottom w:val="0"/>
      <w:divBdr>
        <w:top w:val="none" w:sz="0" w:space="0" w:color="auto"/>
        <w:left w:val="none" w:sz="0" w:space="0" w:color="auto"/>
        <w:bottom w:val="none" w:sz="0" w:space="0" w:color="auto"/>
        <w:right w:val="none" w:sz="0" w:space="0" w:color="auto"/>
      </w:divBdr>
    </w:div>
    <w:div w:id="1075862095">
      <w:bodyDiv w:val="1"/>
      <w:marLeft w:val="0"/>
      <w:marRight w:val="0"/>
      <w:marTop w:val="0"/>
      <w:marBottom w:val="0"/>
      <w:divBdr>
        <w:top w:val="none" w:sz="0" w:space="0" w:color="auto"/>
        <w:left w:val="none" w:sz="0" w:space="0" w:color="auto"/>
        <w:bottom w:val="none" w:sz="0" w:space="0" w:color="auto"/>
        <w:right w:val="none" w:sz="0" w:space="0" w:color="auto"/>
      </w:divBdr>
    </w:div>
    <w:div w:id="1161895160">
      <w:bodyDiv w:val="1"/>
      <w:marLeft w:val="0"/>
      <w:marRight w:val="0"/>
      <w:marTop w:val="0"/>
      <w:marBottom w:val="0"/>
      <w:divBdr>
        <w:top w:val="none" w:sz="0" w:space="0" w:color="auto"/>
        <w:left w:val="none" w:sz="0" w:space="0" w:color="auto"/>
        <w:bottom w:val="none" w:sz="0" w:space="0" w:color="auto"/>
        <w:right w:val="none" w:sz="0" w:space="0" w:color="auto"/>
      </w:divBdr>
    </w:div>
    <w:div w:id="1250193434">
      <w:bodyDiv w:val="1"/>
      <w:marLeft w:val="0"/>
      <w:marRight w:val="0"/>
      <w:marTop w:val="0"/>
      <w:marBottom w:val="0"/>
      <w:divBdr>
        <w:top w:val="none" w:sz="0" w:space="0" w:color="auto"/>
        <w:left w:val="none" w:sz="0" w:space="0" w:color="auto"/>
        <w:bottom w:val="none" w:sz="0" w:space="0" w:color="auto"/>
        <w:right w:val="none" w:sz="0" w:space="0" w:color="auto"/>
      </w:divBdr>
    </w:div>
    <w:div w:id="1261833826">
      <w:bodyDiv w:val="1"/>
      <w:marLeft w:val="0"/>
      <w:marRight w:val="0"/>
      <w:marTop w:val="0"/>
      <w:marBottom w:val="0"/>
      <w:divBdr>
        <w:top w:val="none" w:sz="0" w:space="0" w:color="auto"/>
        <w:left w:val="none" w:sz="0" w:space="0" w:color="auto"/>
        <w:bottom w:val="none" w:sz="0" w:space="0" w:color="auto"/>
        <w:right w:val="none" w:sz="0" w:space="0" w:color="auto"/>
      </w:divBdr>
    </w:div>
    <w:div w:id="1373263740">
      <w:bodyDiv w:val="1"/>
      <w:marLeft w:val="0"/>
      <w:marRight w:val="0"/>
      <w:marTop w:val="0"/>
      <w:marBottom w:val="0"/>
      <w:divBdr>
        <w:top w:val="none" w:sz="0" w:space="0" w:color="auto"/>
        <w:left w:val="none" w:sz="0" w:space="0" w:color="auto"/>
        <w:bottom w:val="none" w:sz="0" w:space="0" w:color="auto"/>
        <w:right w:val="none" w:sz="0" w:space="0" w:color="auto"/>
      </w:divBdr>
    </w:div>
    <w:div w:id="1420251897">
      <w:bodyDiv w:val="1"/>
      <w:marLeft w:val="0"/>
      <w:marRight w:val="0"/>
      <w:marTop w:val="0"/>
      <w:marBottom w:val="0"/>
      <w:divBdr>
        <w:top w:val="none" w:sz="0" w:space="0" w:color="auto"/>
        <w:left w:val="none" w:sz="0" w:space="0" w:color="auto"/>
        <w:bottom w:val="none" w:sz="0" w:space="0" w:color="auto"/>
        <w:right w:val="none" w:sz="0" w:space="0" w:color="auto"/>
      </w:divBdr>
    </w:div>
    <w:div w:id="1423987790">
      <w:bodyDiv w:val="1"/>
      <w:marLeft w:val="0"/>
      <w:marRight w:val="0"/>
      <w:marTop w:val="0"/>
      <w:marBottom w:val="0"/>
      <w:divBdr>
        <w:top w:val="none" w:sz="0" w:space="0" w:color="auto"/>
        <w:left w:val="none" w:sz="0" w:space="0" w:color="auto"/>
        <w:bottom w:val="none" w:sz="0" w:space="0" w:color="auto"/>
        <w:right w:val="none" w:sz="0" w:space="0" w:color="auto"/>
      </w:divBdr>
    </w:div>
    <w:div w:id="1432360202">
      <w:bodyDiv w:val="1"/>
      <w:marLeft w:val="0"/>
      <w:marRight w:val="0"/>
      <w:marTop w:val="0"/>
      <w:marBottom w:val="0"/>
      <w:divBdr>
        <w:top w:val="none" w:sz="0" w:space="0" w:color="auto"/>
        <w:left w:val="none" w:sz="0" w:space="0" w:color="auto"/>
        <w:bottom w:val="none" w:sz="0" w:space="0" w:color="auto"/>
        <w:right w:val="none" w:sz="0" w:space="0" w:color="auto"/>
      </w:divBdr>
    </w:div>
    <w:div w:id="1438254210">
      <w:bodyDiv w:val="1"/>
      <w:marLeft w:val="0"/>
      <w:marRight w:val="0"/>
      <w:marTop w:val="0"/>
      <w:marBottom w:val="0"/>
      <w:divBdr>
        <w:top w:val="none" w:sz="0" w:space="0" w:color="auto"/>
        <w:left w:val="none" w:sz="0" w:space="0" w:color="auto"/>
        <w:bottom w:val="none" w:sz="0" w:space="0" w:color="auto"/>
        <w:right w:val="none" w:sz="0" w:space="0" w:color="auto"/>
      </w:divBdr>
    </w:div>
    <w:div w:id="1439058386">
      <w:bodyDiv w:val="1"/>
      <w:marLeft w:val="0"/>
      <w:marRight w:val="0"/>
      <w:marTop w:val="0"/>
      <w:marBottom w:val="0"/>
      <w:divBdr>
        <w:top w:val="none" w:sz="0" w:space="0" w:color="auto"/>
        <w:left w:val="none" w:sz="0" w:space="0" w:color="auto"/>
        <w:bottom w:val="none" w:sz="0" w:space="0" w:color="auto"/>
        <w:right w:val="none" w:sz="0" w:space="0" w:color="auto"/>
      </w:divBdr>
    </w:div>
    <w:div w:id="1462725215">
      <w:bodyDiv w:val="1"/>
      <w:marLeft w:val="0"/>
      <w:marRight w:val="0"/>
      <w:marTop w:val="0"/>
      <w:marBottom w:val="0"/>
      <w:divBdr>
        <w:top w:val="none" w:sz="0" w:space="0" w:color="auto"/>
        <w:left w:val="none" w:sz="0" w:space="0" w:color="auto"/>
        <w:bottom w:val="none" w:sz="0" w:space="0" w:color="auto"/>
        <w:right w:val="none" w:sz="0" w:space="0" w:color="auto"/>
      </w:divBdr>
    </w:div>
    <w:div w:id="1487697234">
      <w:bodyDiv w:val="1"/>
      <w:marLeft w:val="0"/>
      <w:marRight w:val="0"/>
      <w:marTop w:val="0"/>
      <w:marBottom w:val="0"/>
      <w:divBdr>
        <w:top w:val="none" w:sz="0" w:space="0" w:color="auto"/>
        <w:left w:val="none" w:sz="0" w:space="0" w:color="auto"/>
        <w:bottom w:val="none" w:sz="0" w:space="0" w:color="auto"/>
        <w:right w:val="none" w:sz="0" w:space="0" w:color="auto"/>
      </w:divBdr>
    </w:div>
    <w:div w:id="1524369028">
      <w:bodyDiv w:val="1"/>
      <w:marLeft w:val="0"/>
      <w:marRight w:val="0"/>
      <w:marTop w:val="0"/>
      <w:marBottom w:val="0"/>
      <w:divBdr>
        <w:top w:val="none" w:sz="0" w:space="0" w:color="auto"/>
        <w:left w:val="none" w:sz="0" w:space="0" w:color="auto"/>
        <w:bottom w:val="none" w:sz="0" w:space="0" w:color="auto"/>
        <w:right w:val="none" w:sz="0" w:space="0" w:color="auto"/>
      </w:divBdr>
    </w:div>
    <w:div w:id="1533419614">
      <w:bodyDiv w:val="1"/>
      <w:marLeft w:val="0"/>
      <w:marRight w:val="0"/>
      <w:marTop w:val="0"/>
      <w:marBottom w:val="0"/>
      <w:divBdr>
        <w:top w:val="none" w:sz="0" w:space="0" w:color="auto"/>
        <w:left w:val="none" w:sz="0" w:space="0" w:color="auto"/>
        <w:bottom w:val="none" w:sz="0" w:space="0" w:color="auto"/>
        <w:right w:val="none" w:sz="0" w:space="0" w:color="auto"/>
      </w:divBdr>
    </w:div>
    <w:div w:id="1644895761">
      <w:bodyDiv w:val="1"/>
      <w:marLeft w:val="0"/>
      <w:marRight w:val="0"/>
      <w:marTop w:val="0"/>
      <w:marBottom w:val="0"/>
      <w:divBdr>
        <w:top w:val="none" w:sz="0" w:space="0" w:color="auto"/>
        <w:left w:val="none" w:sz="0" w:space="0" w:color="auto"/>
        <w:bottom w:val="none" w:sz="0" w:space="0" w:color="auto"/>
        <w:right w:val="none" w:sz="0" w:space="0" w:color="auto"/>
      </w:divBdr>
    </w:div>
    <w:div w:id="1654025476">
      <w:bodyDiv w:val="1"/>
      <w:marLeft w:val="0"/>
      <w:marRight w:val="0"/>
      <w:marTop w:val="0"/>
      <w:marBottom w:val="0"/>
      <w:divBdr>
        <w:top w:val="none" w:sz="0" w:space="0" w:color="auto"/>
        <w:left w:val="none" w:sz="0" w:space="0" w:color="auto"/>
        <w:bottom w:val="none" w:sz="0" w:space="0" w:color="auto"/>
        <w:right w:val="none" w:sz="0" w:space="0" w:color="auto"/>
      </w:divBdr>
    </w:div>
    <w:div w:id="1767118625">
      <w:bodyDiv w:val="1"/>
      <w:marLeft w:val="0"/>
      <w:marRight w:val="0"/>
      <w:marTop w:val="0"/>
      <w:marBottom w:val="0"/>
      <w:divBdr>
        <w:top w:val="none" w:sz="0" w:space="0" w:color="auto"/>
        <w:left w:val="none" w:sz="0" w:space="0" w:color="auto"/>
        <w:bottom w:val="none" w:sz="0" w:space="0" w:color="auto"/>
        <w:right w:val="none" w:sz="0" w:space="0" w:color="auto"/>
      </w:divBdr>
    </w:div>
    <w:div w:id="1841433158">
      <w:bodyDiv w:val="1"/>
      <w:marLeft w:val="0"/>
      <w:marRight w:val="0"/>
      <w:marTop w:val="0"/>
      <w:marBottom w:val="0"/>
      <w:divBdr>
        <w:top w:val="none" w:sz="0" w:space="0" w:color="auto"/>
        <w:left w:val="none" w:sz="0" w:space="0" w:color="auto"/>
        <w:bottom w:val="none" w:sz="0" w:space="0" w:color="auto"/>
        <w:right w:val="none" w:sz="0" w:space="0" w:color="auto"/>
      </w:divBdr>
    </w:div>
    <w:div w:id="1960451214">
      <w:bodyDiv w:val="1"/>
      <w:marLeft w:val="0"/>
      <w:marRight w:val="0"/>
      <w:marTop w:val="0"/>
      <w:marBottom w:val="0"/>
      <w:divBdr>
        <w:top w:val="none" w:sz="0" w:space="0" w:color="auto"/>
        <w:left w:val="none" w:sz="0" w:space="0" w:color="auto"/>
        <w:bottom w:val="none" w:sz="0" w:space="0" w:color="auto"/>
        <w:right w:val="none" w:sz="0" w:space="0" w:color="auto"/>
      </w:divBdr>
    </w:div>
    <w:div w:id="1975989231">
      <w:bodyDiv w:val="1"/>
      <w:marLeft w:val="0"/>
      <w:marRight w:val="0"/>
      <w:marTop w:val="0"/>
      <w:marBottom w:val="0"/>
      <w:divBdr>
        <w:top w:val="none" w:sz="0" w:space="0" w:color="auto"/>
        <w:left w:val="none" w:sz="0" w:space="0" w:color="auto"/>
        <w:bottom w:val="none" w:sz="0" w:space="0" w:color="auto"/>
        <w:right w:val="none" w:sz="0" w:space="0" w:color="auto"/>
      </w:divBdr>
    </w:div>
    <w:div w:id="1982034243">
      <w:bodyDiv w:val="1"/>
      <w:marLeft w:val="0"/>
      <w:marRight w:val="0"/>
      <w:marTop w:val="0"/>
      <w:marBottom w:val="0"/>
      <w:divBdr>
        <w:top w:val="none" w:sz="0" w:space="0" w:color="auto"/>
        <w:left w:val="none" w:sz="0" w:space="0" w:color="auto"/>
        <w:bottom w:val="none" w:sz="0" w:space="0" w:color="auto"/>
        <w:right w:val="none" w:sz="0" w:space="0" w:color="auto"/>
      </w:divBdr>
    </w:div>
    <w:div w:id="20794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hyperlink" Target="http://www.statistikbanken.dk" TargetMode="Externa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248;rgen%20Goul%20Andersen\Desktop\WELFARE%20STATE%20FUTURES%20BOOK\OECD%20Econ%20Outlook%2097.2015.Gen%20gov%20tax.reduced.muc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248;lund\Desktop\YYY%20Ikke%20overf&#248;rt\Denmark%20NIIP%201998-2013xN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248;rgen%20Goul%20Andersen\Desktop\WELFARE%20STATE%20FUTURES%20BOOK\Fuldtidsledighed%20netto%201979-2014.AULA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248;rgen%20Goul%20Andersen\Desktop\IDEAS%20ESSAYS%202014\Boligpriser%201992-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248;rgen%20Goul%20Andersen\Desktop\VALGBOG%20AUG.2015\2015-06-04%20Risbjergs%20Snit%20ENGLISH.EDI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RTIKLER\Artikler.12\Valg%202011%20Bog%201%20Krisevalg%20FINAL\NY%20kapitel%207%20figurer\Figur%207.1%20sociale%20reformer%20velf-skat%20brugerbetal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RTIKLER\Artikler.12\Valg%202011%20Bog%201%20Krisevalg%20FINAL\NY%20kapitel%207%20figurer\Figur%207.1%20sociale%20reformer%20velf-skat%20brugerbeta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ARTIKLER\Artikler.12\Valg%202011%20Bog%201%20Krisevalg%20FINAL\NY%20kapitel%207%20figurer\Figur%207.1%20sociale%20reformer%20velf-skat%20brugerbeta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248;rgen%20Goul%20Andersen\Desktop\Valgbog%20kap%207%20holdn%20udvikling\Hojre%20venstre%20marginaler%201969-20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248;rgen%20Goul%20Andersen\Desktop\2015-08-03%20Int%20Summer%20School\NIIP_Eurostat_Table_tipsii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Narrow" pitchFamily="34" charset="0"/>
              </a:rPr>
              <a:t>Figure 1. Tax revenue as per cent of GDP</a:t>
            </a:r>
          </a:p>
        </c:rich>
      </c:tx>
      <c:overlay val="0"/>
    </c:title>
    <c:autoTitleDeleted val="0"/>
    <c:plotArea>
      <c:layout/>
      <c:lineChart>
        <c:grouping val="standard"/>
        <c:varyColors val="0"/>
        <c:ser>
          <c:idx val="0"/>
          <c:order val="0"/>
          <c:tx>
            <c:strRef>
              <c:f>Annex_Tab26_E!$A$9</c:f>
              <c:strCache>
                <c:ptCount val="1"/>
                <c:pt idx="0">
                  <c:v>Austria</c:v>
                </c:pt>
              </c:strCache>
            </c:strRef>
          </c:tx>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Annex_Tab26_E!$B$9:$U$9</c:f>
              <c:numCache>
                <c:formatCode>0.0\ </c:formatCode>
                <c:ptCount val="20"/>
                <c:pt idx="0">
                  <c:v>49.558138598915143</c:v>
                </c:pt>
                <c:pt idx="1">
                  <c:v>49.174283313324892</c:v>
                </c:pt>
                <c:pt idx="2">
                  <c:v>49.204392134473594</c:v>
                </c:pt>
                <c:pt idx="3">
                  <c:v>48.206305167797254</c:v>
                </c:pt>
                <c:pt idx="4">
                  <c:v>50.384301278324997</c:v>
                </c:pt>
                <c:pt idx="5">
                  <c:v>49.347696287811779</c:v>
                </c:pt>
                <c:pt idx="6">
                  <c:v>49.260905689219179</c:v>
                </c:pt>
                <c:pt idx="7">
                  <c:v>48.750904460725195</c:v>
                </c:pt>
                <c:pt idx="8">
                  <c:v>48.499388667937275</c:v>
                </c:pt>
                <c:pt idx="9">
                  <c:v>47.64032999241207</c:v>
                </c:pt>
                <c:pt idx="10">
                  <c:v>47.757039645673395</c:v>
                </c:pt>
                <c:pt idx="11">
                  <c:v>48.398223031892144</c:v>
                </c:pt>
                <c:pt idx="12">
                  <c:v>48.799419701046254</c:v>
                </c:pt>
                <c:pt idx="13">
                  <c:v>48.400798090980913</c:v>
                </c:pt>
                <c:pt idx="14">
                  <c:v>48.236583264120611</c:v>
                </c:pt>
                <c:pt idx="15">
                  <c:v>48.682639529681694</c:v>
                </c:pt>
                <c:pt idx="16">
                  <c:v>49.574476712229306</c:v>
                </c:pt>
                <c:pt idx="17">
                  <c:v>49.829031200784321</c:v>
                </c:pt>
                <c:pt idx="18">
                  <c:v>49.989435768251475</c:v>
                </c:pt>
                <c:pt idx="19">
                  <c:v>49.139172186656481</c:v>
                </c:pt>
              </c:numCache>
            </c:numRef>
          </c:val>
          <c:smooth val="0"/>
        </c:ser>
        <c:ser>
          <c:idx val="1"/>
          <c:order val="1"/>
          <c:tx>
            <c:strRef>
              <c:f>Annex_Tab26_E!$A$10</c:f>
              <c:strCache>
                <c:ptCount val="1"/>
                <c:pt idx="0">
                  <c:v>Belgium</c:v>
                </c:pt>
              </c:strCache>
            </c:strRef>
          </c:tx>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Annex_Tab26_E!$B$10:$U$10</c:f>
              <c:numCache>
                <c:formatCode>0.0\ </c:formatCode>
                <c:ptCount val="20"/>
                <c:pt idx="0">
                  <c:v>48.760706519327208</c:v>
                </c:pt>
                <c:pt idx="1">
                  <c:v>49.263896314990262</c:v>
                </c:pt>
                <c:pt idx="2">
                  <c:v>49.117668781132053</c:v>
                </c:pt>
                <c:pt idx="3">
                  <c:v>48.582113884252607</c:v>
                </c:pt>
                <c:pt idx="4">
                  <c:v>48.934395331830551</c:v>
                </c:pt>
                <c:pt idx="5">
                  <c:v>49.078194486430966</c:v>
                </c:pt>
                <c:pt idx="6">
                  <c:v>48.400484680139314</c:v>
                </c:pt>
                <c:pt idx="7">
                  <c:v>48.203650819188589</c:v>
                </c:pt>
                <c:pt idx="8">
                  <c:v>48.27083206124027</c:v>
                </c:pt>
                <c:pt idx="9">
                  <c:v>47.923289796815993</c:v>
                </c:pt>
                <c:pt idx="10">
                  <c:v>47.618001559153477</c:v>
                </c:pt>
                <c:pt idx="11">
                  <c:v>48.351269824728263</c:v>
                </c:pt>
                <c:pt idx="12">
                  <c:v>47.740408812225482</c:v>
                </c:pt>
                <c:pt idx="13">
                  <c:v>48.354965453317092</c:v>
                </c:pt>
                <c:pt idx="14">
                  <c:v>49.318467750001133</c:v>
                </c:pt>
                <c:pt idx="15">
                  <c:v>50.663216412835162</c:v>
                </c:pt>
                <c:pt idx="16">
                  <c:v>51.54418555224629</c:v>
                </c:pt>
                <c:pt idx="17">
                  <c:v>51.129019819542009</c:v>
                </c:pt>
                <c:pt idx="18">
                  <c:v>50.895670707293348</c:v>
                </c:pt>
                <c:pt idx="19">
                  <c:v>50.513300008901012</c:v>
                </c:pt>
              </c:numCache>
            </c:numRef>
          </c:val>
          <c:smooth val="0"/>
        </c:ser>
        <c:ser>
          <c:idx val="2"/>
          <c:order val="2"/>
          <c:tx>
            <c:strRef>
              <c:f>Annex_Tab26_E!$A$11</c:f>
              <c:strCache>
                <c:ptCount val="1"/>
                <c:pt idx="0">
                  <c:v>Denmark</c:v>
                </c:pt>
              </c:strCache>
            </c:strRef>
          </c:tx>
          <c:spPr>
            <a:ln w="38100">
              <a:solidFill>
                <a:srgbClr val="FF0000"/>
              </a:solidFill>
            </a:ln>
          </c:spPr>
          <c:marker>
            <c:symbol val="circle"/>
            <c:size val="5"/>
            <c:spPr>
              <a:solidFill>
                <a:srgbClr val="FF0000"/>
              </a:solidFill>
            </c:spPr>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Annex_Tab26_E!$B$11:$U$11</c:f>
              <c:numCache>
                <c:formatCode>0.0\ </c:formatCode>
                <c:ptCount val="20"/>
                <c:pt idx="0">
                  <c:v>54.707232163890644</c:v>
                </c:pt>
                <c:pt idx="1">
                  <c:v>55.006627385774429</c:v>
                </c:pt>
                <c:pt idx="2">
                  <c:v>55.402123685382534</c:v>
                </c:pt>
                <c:pt idx="3">
                  <c:v>54.574270617999247</c:v>
                </c:pt>
                <c:pt idx="4">
                  <c:v>53.977865546941445</c:v>
                </c:pt>
                <c:pt idx="5">
                  <c:v>53.199065995117252</c:v>
                </c:pt>
                <c:pt idx="6">
                  <c:v>53.506279097769905</c:v>
                </c:pt>
                <c:pt idx="7">
                  <c:v>55.099151553160624</c:v>
                </c:pt>
                <c:pt idx="8">
                  <c:v>56.177195993538163</c:v>
                </c:pt>
                <c:pt idx="9">
                  <c:v>54.802063808823135</c:v>
                </c:pt>
                <c:pt idx="10">
                  <c:v>54.598758209655607</c:v>
                </c:pt>
                <c:pt idx="11">
                  <c:v>53.70157219811221</c:v>
                </c:pt>
                <c:pt idx="12">
                  <c:v>53.986550104012544</c:v>
                </c:pt>
                <c:pt idx="13">
                  <c:v>54.331278643025961</c:v>
                </c:pt>
                <c:pt idx="14">
                  <c:v>54.772379682819512</c:v>
                </c:pt>
                <c:pt idx="15">
                  <c:v>55.143217274245998</c:v>
                </c:pt>
                <c:pt idx="16">
                  <c:v>56.016111170895989</c:v>
                </c:pt>
                <c:pt idx="17">
                  <c:v>58.497169642224435</c:v>
                </c:pt>
                <c:pt idx="18">
                  <c:v>55.775011893152232</c:v>
                </c:pt>
                <c:pt idx="19">
                  <c:v>54.33223345583842</c:v>
                </c:pt>
              </c:numCache>
            </c:numRef>
          </c:val>
          <c:smooth val="0"/>
        </c:ser>
        <c:ser>
          <c:idx val="3"/>
          <c:order val="3"/>
          <c:tx>
            <c:strRef>
              <c:f>Annex_Tab26_E!$A$12</c:f>
              <c:strCache>
                <c:ptCount val="1"/>
                <c:pt idx="0">
                  <c:v>Finland</c:v>
                </c:pt>
              </c:strCache>
            </c:strRef>
          </c:tx>
          <c:spPr>
            <a:ln>
              <a:solidFill>
                <a:srgbClr val="0070C0"/>
              </a:solidFill>
            </a:ln>
          </c:spPr>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Annex_Tab26_E!$B$12:$U$12</c:f>
              <c:numCache>
                <c:formatCode>0.0\ </c:formatCode>
                <c:ptCount val="20"/>
                <c:pt idx="0">
                  <c:v>54.883599125864507</c:v>
                </c:pt>
                <c:pt idx="1">
                  <c:v>54.000598096060912</c:v>
                </c:pt>
                <c:pt idx="2">
                  <c:v>52.642940995721972</c:v>
                </c:pt>
                <c:pt idx="3">
                  <c:v>54.869698593141095</c:v>
                </c:pt>
                <c:pt idx="4">
                  <c:v>52.321081163413496</c:v>
                </c:pt>
                <c:pt idx="5">
                  <c:v>52.595944405856095</c:v>
                </c:pt>
                <c:pt idx="6">
                  <c:v>51.82524130923855</c:v>
                </c:pt>
                <c:pt idx="7">
                  <c:v>51.515361850615399</c:v>
                </c:pt>
                <c:pt idx="8">
                  <c:v>51.868456751446054</c:v>
                </c:pt>
                <c:pt idx="9">
                  <c:v>52.271542285098541</c:v>
                </c:pt>
                <c:pt idx="10">
                  <c:v>51.928353985336365</c:v>
                </c:pt>
                <c:pt idx="11">
                  <c:v>52.439458781380495</c:v>
                </c:pt>
                <c:pt idx="12">
                  <c:v>52.229753243955663</c:v>
                </c:pt>
                <c:pt idx="13">
                  <c:v>52.144842330304655</c:v>
                </c:pt>
                <c:pt idx="14">
                  <c:v>53.340038299580009</c:v>
                </c:pt>
                <c:pt idx="15">
                  <c:v>54.020411125514912</c:v>
                </c:pt>
                <c:pt idx="16">
                  <c:v>55.236515755340477</c:v>
                </c:pt>
                <c:pt idx="17">
                  <c:v>55.513565179030955</c:v>
                </c:pt>
                <c:pt idx="18">
                  <c:v>56.089336755022394</c:v>
                </c:pt>
                <c:pt idx="19">
                  <c:v>56.138715501804086</c:v>
                </c:pt>
              </c:numCache>
            </c:numRef>
          </c:val>
          <c:smooth val="0"/>
        </c:ser>
        <c:ser>
          <c:idx val="4"/>
          <c:order val="4"/>
          <c:tx>
            <c:strRef>
              <c:f>Annex_Tab26_E!$A$13</c:f>
              <c:strCache>
                <c:ptCount val="1"/>
                <c:pt idx="0">
                  <c:v>France</c:v>
                </c:pt>
              </c:strCache>
            </c:strRef>
          </c:tx>
          <c:spPr>
            <a:ln>
              <a:solidFill>
                <a:srgbClr val="66FF33"/>
              </a:solidFill>
            </a:ln>
          </c:spPr>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Annex_Tab26_E!$B$13:$U$13</c:f>
              <c:numCache>
                <c:formatCode>0.0\ </c:formatCode>
                <c:ptCount val="20"/>
                <c:pt idx="0">
                  <c:v>50.293166591596346</c:v>
                </c:pt>
                <c:pt idx="1">
                  <c:v>49.923140078558937</c:v>
                </c:pt>
                <c:pt idx="2">
                  <c:v>50.522596076174374</c:v>
                </c:pt>
                <c:pt idx="3">
                  <c:v>49.771485862262125</c:v>
                </c:pt>
                <c:pt idx="4">
                  <c:v>49.742827313250594</c:v>
                </c:pt>
                <c:pt idx="5">
                  <c:v>49.174128054762825</c:v>
                </c:pt>
                <c:pt idx="6">
                  <c:v>48.898001919872812</c:v>
                </c:pt>
                <c:pt idx="7">
                  <c:v>49.108964761123751</c:v>
                </c:pt>
                <c:pt idx="8">
                  <c:v>49.7712466787629</c:v>
                </c:pt>
                <c:pt idx="9">
                  <c:v>50.111489990109128</c:v>
                </c:pt>
                <c:pt idx="10">
                  <c:v>49.67070909187791</c:v>
                </c:pt>
                <c:pt idx="11">
                  <c:v>49.846160927904336</c:v>
                </c:pt>
                <c:pt idx="12">
                  <c:v>49.591595410803393</c:v>
                </c:pt>
                <c:pt idx="13">
                  <c:v>49.683055069228644</c:v>
                </c:pt>
                <c:pt idx="14">
                  <c:v>50.850986430210178</c:v>
                </c:pt>
                <c:pt idx="15">
                  <c:v>52.031225675637089</c:v>
                </c:pt>
                <c:pt idx="16">
                  <c:v>52.916074922444075</c:v>
                </c:pt>
                <c:pt idx="17">
                  <c:v>53.507128240844452</c:v>
                </c:pt>
                <c:pt idx="18">
                  <c:v>53.12422826588373</c:v>
                </c:pt>
                <c:pt idx="19">
                  <c:v>52.838244528819864</c:v>
                </c:pt>
              </c:numCache>
            </c:numRef>
          </c:val>
          <c:smooth val="0"/>
        </c:ser>
        <c:ser>
          <c:idx val="5"/>
          <c:order val="5"/>
          <c:tx>
            <c:strRef>
              <c:f>Annex_Tab26_E!$A$14</c:f>
              <c:strCache>
                <c:ptCount val="1"/>
                <c:pt idx="0">
                  <c:v>Germany</c:v>
                </c:pt>
              </c:strCache>
            </c:strRef>
          </c:tx>
          <c:spPr>
            <a:ln>
              <a:solidFill>
                <a:prstClr val="black"/>
              </a:solidFill>
              <a:prstDash val="sysDash"/>
            </a:ln>
          </c:spPr>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Annex_Tab26_E!$B$14:$U$14</c:f>
              <c:numCache>
                <c:formatCode>0.0\ </c:formatCode>
                <c:ptCount val="20"/>
                <c:pt idx="0">
                  <c:v>45.114728362160761</c:v>
                </c:pt>
                <c:pt idx="1">
                  <c:v>45.262368986855179</c:v>
                </c:pt>
                <c:pt idx="2">
                  <c:v>46.166547980430138</c:v>
                </c:pt>
                <c:pt idx="3">
                  <c:v>45.665238122496518</c:v>
                </c:pt>
                <c:pt idx="4">
                  <c:v>43.788827569122176</c:v>
                </c:pt>
                <c:pt idx="5">
                  <c:v>43.303034033086199</c:v>
                </c:pt>
                <c:pt idx="6">
                  <c:v>43.636157273999018</c:v>
                </c:pt>
                <c:pt idx="7">
                  <c:v>42.764095932813582</c:v>
                </c:pt>
                <c:pt idx="8">
                  <c:v>42.906979785036086</c:v>
                </c:pt>
                <c:pt idx="9">
                  <c:v>43.023898285164101</c:v>
                </c:pt>
                <c:pt idx="10">
                  <c:v>42.996338360330213</c:v>
                </c:pt>
                <c:pt idx="11">
                  <c:v>43.520476507739396</c:v>
                </c:pt>
                <c:pt idx="12">
                  <c:v>44.435020688132475</c:v>
                </c:pt>
                <c:pt idx="13">
                  <c:v>43.199890448817499</c:v>
                </c:pt>
                <c:pt idx="14">
                  <c:v>43.765234179180993</c:v>
                </c:pt>
                <c:pt idx="15">
                  <c:v>44.260919972596895</c:v>
                </c:pt>
                <c:pt idx="16">
                  <c:v>44.398478112473001</c:v>
                </c:pt>
                <c:pt idx="17">
                  <c:v>44.486491467426262</c:v>
                </c:pt>
                <c:pt idx="18">
                  <c:v>44.22518691342519</c:v>
                </c:pt>
                <c:pt idx="19">
                  <c:v>44.272722529121893</c:v>
                </c:pt>
              </c:numCache>
            </c:numRef>
          </c:val>
          <c:smooth val="0"/>
        </c:ser>
        <c:ser>
          <c:idx val="6"/>
          <c:order val="6"/>
          <c:tx>
            <c:strRef>
              <c:f>Annex_Tab26_E!$A$15</c:f>
              <c:strCache>
                <c:ptCount val="1"/>
                <c:pt idx="0">
                  <c:v>Netherlands</c:v>
                </c:pt>
              </c:strCache>
            </c:strRef>
          </c:tx>
          <c:spPr>
            <a:ln>
              <a:solidFill>
                <a:schemeClr val="tx1"/>
              </a:solidFill>
              <a:prstDash val="sysDot"/>
            </a:ln>
          </c:spPr>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Annex_Tab26_E!$B$15:$U$15</c:f>
              <c:numCache>
                <c:formatCode>0.0\ </c:formatCode>
                <c:ptCount val="20"/>
                <c:pt idx="0">
                  <c:v>44.317522065513003</c:v>
                </c:pt>
                <c:pt idx="1">
                  <c:v>43.326268752081816</c:v>
                </c:pt>
                <c:pt idx="2">
                  <c:v>44.012532642389822</c:v>
                </c:pt>
                <c:pt idx="3">
                  <c:v>43.566926784560266</c:v>
                </c:pt>
                <c:pt idx="4">
                  <c:v>42.801804733969469</c:v>
                </c:pt>
                <c:pt idx="5">
                  <c:v>41.854147957792598</c:v>
                </c:pt>
                <c:pt idx="6">
                  <c:v>41.730184309057435</c:v>
                </c:pt>
                <c:pt idx="7">
                  <c:v>42.217540063207714</c:v>
                </c:pt>
                <c:pt idx="8">
                  <c:v>42.417712857695044</c:v>
                </c:pt>
                <c:pt idx="9">
                  <c:v>43.636823774936992</c:v>
                </c:pt>
                <c:pt idx="10">
                  <c:v>42.939673902447275</c:v>
                </c:pt>
                <c:pt idx="11">
                  <c:v>44.002021922240324</c:v>
                </c:pt>
                <c:pt idx="12">
                  <c:v>42.719959621324101</c:v>
                </c:pt>
                <c:pt idx="13">
                  <c:v>43.171109595888865</c:v>
                </c:pt>
                <c:pt idx="14">
                  <c:v>42.659259203070405</c:v>
                </c:pt>
                <c:pt idx="15">
                  <c:v>43.50256737786605</c:v>
                </c:pt>
                <c:pt idx="16">
                  <c:v>44.50444131982632</c:v>
                </c:pt>
                <c:pt idx="17">
                  <c:v>44.298512522877566</c:v>
                </c:pt>
                <c:pt idx="18">
                  <c:v>43.851264974753917</c:v>
                </c:pt>
                <c:pt idx="19">
                  <c:v>43.135921572579463</c:v>
                </c:pt>
              </c:numCache>
            </c:numRef>
          </c:val>
          <c:smooth val="0"/>
        </c:ser>
        <c:ser>
          <c:idx val="7"/>
          <c:order val="7"/>
          <c:tx>
            <c:strRef>
              <c:f>Annex_Tab26_E!$A$16</c:f>
              <c:strCache>
                <c:ptCount val="1"/>
                <c:pt idx="0">
                  <c:v>Sweden</c:v>
                </c:pt>
              </c:strCache>
            </c:strRef>
          </c:tx>
          <c:spPr>
            <a:ln>
              <a:solidFill>
                <a:srgbClr val="FF0000"/>
              </a:solidFill>
              <a:prstDash val="sysDash"/>
            </a:ln>
          </c:spPr>
          <c:marker>
            <c:symbol val="circle"/>
            <c:size val="5"/>
            <c:spPr>
              <a:solidFill>
                <a:srgbClr val="FF0000"/>
              </a:solidFill>
            </c:spPr>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Annex_Tab26_E!$B$16:$U$16</c:f>
              <c:numCache>
                <c:formatCode>0.0\ </c:formatCode>
                <c:ptCount val="20"/>
                <c:pt idx="0">
                  <c:v>57.630298086384059</c:v>
                </c:pt>
                <c:pt idx="1">
                  <c:v>58.101508551727051</c:v>
                </c:pt>
                <c:pt idx="2">
                  <c:v>57.425858643709994</c:v>
                </c:pt>
                <c:pt idx="3">
                  <c:v>56.84352823319405</c:v>
                </c:pt>
                <c:pt idx="4">
                  <c:v>54.442671845737529</c:v>
                </c:pt>
                <c:pt idx="5">
                  <c:v>52.734353887113862</c:v>
                </c:pt>
                <c:pt idx="6">
                  <c:v>52.963138609387372</c:v>
                </c:pt>
                <c:pt idx="7">
                  <c:v>53.200988089570913</c:v>
                </c:pt>
                <c:pt idx="8">
                  <c:v>54.606163238777967</c:v>
                </c:pt>
                <c:pt idx="9">
                  <c:v>53.539767890209646</c:v>
                </c:pt>
                <c:pt idx="10">
                  <c:v>52.959940101881344</c:v>
                </c:pt>
                <c:pt idx="11">
                  <c:v>52.329043278096144</c:v>
                </c:pt>
                <c:pt idx="12">
                  <c:v>52.372033855533246</c:v>
                </c:pt>
                <c:pt idx="13">
                  <c:v>52.114244432052509</c:v>
                </c:pt>
                <c:pt idx="14">
                  <c:v>51.430326425520335</c:v>
                </c:pt>
                <c:pt idx="15">
                  <c:v>51.617327623321394</c:v>
                </c:pt>
                <c:pt idx="16">
                  <c:v>51.876885877747917</c:v>
                </c:pt>
                <c:pt idx="17">
                  <c:v>51.001587282527858</c:v>
                </c:pt>
                <c:pt idx="18">
                  <c:v>50.987345116041993</c:v>
                </c:pt>
                <c:pt idx="19">
                  <c:v>51.300530658978381</c:v>
                </c:pt>
              </c:numCache>
            </c:numRef>
          </c:val>
          <c:smooth val="0"/>
        </c:ser>
        <c:ser>
          <c:idx val="8"/>
          <c:order val="8"/>
          <c:tx>
            <c:strRef>
              <c:f>Annex_Tab26_E!$A$17</c:f>
              <c:strCache>
                <c:ptCount val="1"/>
                <c:pt idx="0">
                  <c:v>UK</c:v>
                </c:pt>
              </c:strCache>
            </c:strRef>
          </c:tx>
          <c:spPr>
            <a:ln>
              <a:solidFill>
                <a:prstClr val="black"/>
              </a:solidFill>
              <a:prstDash val="dash"/>
            </a:ln>
          </c:spPr>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Annex_Tab26_E!$B$17:$U$17</c:f>
              <c:numCache>
                <c:formatCode>0.0\ </c:formatCode>
                <c:ptCount val="20"/>
                <c:pt idx="0">
                  <c:v>36.702587678372275</c:v>
                </c:pt>
                <c:pt idx="1">
                  <c:v>38.035555305244053</c:v>
                </c:pt>
                <c:pt idx="2">
                  <c:v>38.917001316450644</c:v>
                </c:pt>
                <c:pt idx="3">
                  <c:v>39.105843409749944</c:v>
                </c:pt>
                <c:pt idx="4">
                  <c:v>39.660177997518502</c:v>
                </c:pt>
                <c:pt idx="5">
                  <c:v>38.040461129048083</c:v>
                </c:pt>
                <c:pt idx="6">
                  <c:v>37.480439301988604</c:v>
                </c:pt>
                <c:pt idx="7">
                  <c:v>38.314407926761746</c:v>
                </c:pt>
                <c:pt idx="8">
                  <c:v>38.973512429710702</c:v>
                </c:pt>
                <c:pt idx="9">
                  <c:v>39.758827577461467</c:v>
                </c:pt>
                <c:pt idx="10">
                  <c:v>39.591790708164211</c:v>
                </c:pt>
                <c:pt idx="11">
                  <c:v>41.155810163464864</c:v>
                </c:pt>
                <c:pt idx="12">
                  <c:v>38.496259472763775</c:v>
                </c:pt>
                <c:pt idx="13">
                  <c:v>38.621632287686126</c:v>
                </c:pt>
                <c:pt idx="14">
                  <c:v>38.894167377047225</c:v>
                </c:pt>
                <c:pt idx="15">
                  <c:v>38.434888823378742</c:v>
                </c:pt>
                <c:pt idx="16">
                  <c:v>39.567759914355328</c:v>
                </c:pt>
                <c:pt idx="17">
                  <c:v>38.641770129894191</c:v>
                </c:pt>
                <c:pt idx="18">
                  <c:v>39.104979613335225</c:v>
                </c:pt>
                <c:pt idx="19">
                  <c:v>39.307133477800129</c:v>
                </c:pt>
              </c:numCache>
            </c:numRef>
          </c:val>
          <c:smooth val="0"/>
        </c:ser>
        <c:ser>
          <c:idx val="9"/>
          <c:order val="9"/>
          <c:tx>
            <c:strRef>
              <c:f>Annex_Tab26_E!$A$18</c:f>
              <c:strCache>
                <c:ptCount val="1"/>
                <c:pt idx="0">
                  <c:v>USA</c:v>
                </c:pt>
              </c:strCache>
            </c:strRef>
          </c:tx>
          <c:spPr>
            <a:ln>
              <a:solidFill>
                <a:schemeClr val="tx1"/>
              </a:solidFill>
            </a:ln>
          </c:spPr>
          <c:marker>
            <c:symbol val="none"/>
          </c:marker>
          <c:cat>
            <c:numRef>
              <c:f>Annex_Tab26_E!$B$8:$U$8</c:f>
              <c:numCache>
                <c:formatCode>###0\ \ </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Annex_Tab26_E!$B$18:$U$18</c:f>
              <c:numCache>
                <c:formatCode>0.0\ </c:formatCode>
                <c:ptCount val="20"/>
                <c:pt idx="0">
                  <c:v>33.894041081369771</c:v>
                </c:pt>
                <c:pt idx="1">
                  <c:v>34.23448837350027</c:v>
                </c:pt>
                <c:pt idx="2">
                  <c:v>34.201700200556381</c:v>
                </c:pt>
                <c:pt idx="3">
                  <c:v>34.642504679258124</c:v>
                </c:pt>
                <c:pt idx="4">
                  <c:v>33.725362637776463</c:v>
                </c:pt>
                <c:pt idx="5">
                  <c:v>31.446514583205111</c:v>
                </c:pt>
                <c:pt idx="6">
                  <c:v>30.832257882357027</c:v>
                </c:pt>
                <c:pt idx="7">
                  <c:v>30.985680156905119</c:v>
                </c:pt>
                <c:pt idx="8">
                  <c:v>32.338353559345244</c:v>
                </c:pt>
                <c:pt idx="9">
                  <c:v>33.254837289530094</c:v>
                </c:pt>
                <c:pt idx="10">
                  <c:v>33.425910672503313</c:v>
                </c:pt>
                <c:pt idx="11">
                  <c:v>31.998009318157489</c:v>
                </c:pt>
                <c:pt idx="12">
                  <c:v>30.315953733773274</c:v>
                </c:pt>
                <c:pt idx="13">
                  <c:v>30.657874689262638</c:v>
                </c:pt>
                <c:pt idx="14">
                  <c:v>30.919784700596249</c:v>
                </c:pt>
                <c:pt idx="15">
                  <c:v>31.224637524244962</c:v>
                </c:pt>
                <c:pt idx="16">
                  <c:v>33.15746315164813</c:v>
                </c:pt>
                <c:pt idx="17">
                  <c:v>33.330292146240474</c:v>
                </c:pt>
                <c:pt idx="18">
                  <c:v>33.681209263146698</c:v>
                </c:pt>
                <c:pt idx="19">
                  <c:v>33.677409338445649</c:v>
                </c:pt>
              </c:numCache>
            </c:numRef>
          </c:val>
          <c:smooth val="0"/>
        </c:ser>
        <c:dLbls>
          <c:showLegendKey val="0"/>
          <c:showVal val="0"/>
          <c:showCatName val="0"/>
          <c:showSerName val="0"/>
          <c:showPercent val="0"/>
          <c:showBubbleSize val="0"/>
        </c:dLbls>
        <c:smooth val="0"/>
        <c:axId val="568444600"/>
        <c:axId val="397922488"/>
      </c:lineChart>
      <c:catAx>
        <c:axId val="568444600"/>
        <c:scaling>
          <c:orientation val="minMax"/>
        </c:scaling>
        <c:delete val="0"/>
        <c:axPos val="b"/>
        <c:numFmt formatCode="###0\ \ " sourceLinked="1"/>
        <c:majorTickMark val="none"/>
        <c:minorTickMark val="none"/>
        <c:tickLblPos val="nextTo"/>
        <c:txPr>
          <a:bodyPr/>
          <a:lstStyle/>
          <a:p>
            <a:pPr>
              <a:defRPr sz="800" b="1">
                <a:latin typeface="Arial Narrow" pitchFamily="34" charset="0"/>
              </a:defRPr>
            </a:pPr>
            <a:endParaRPr lang="en-US"/>
          </a:p>
        </c:txPr>
        <c:crossAx val="397922488"/>
        <c:crosses val="autoZero"/>
        <c:auto val="1"/>
        <c:lblAlgn val="ctr"/>
        <c:lblOffset val="100"/>
        <c:noMultiLvlLbl val="0"/>
      </c:catAx>
      <c:valAx>
        <c:axId val="397922488"/>
        <c:scaling>
          <c:orientation val="minMax"/>
          <c:max val="60"/>
          <c:min val="30"/>
        </c:scaling>
        <c:delete val="0"/>
        <c:axPos val="l"/>
        <c:majorGridlines/>
        <c:numFmt formatCode="0.0\ " sourceLinked="1"/>
        <c:majorTickMark val="none"/>
        <c:minorTickMark val="none"/>
        <c:tickLblPos val="nextTo"/>
        <c:spPr>
          <a:ln w="9525">
            <a:noFill/>
          </a:ln>
        </c:spPr>
        <c:crossAx val="568444600"/>
        <c:crosses val="autoZero"/>
        <c:crossBetween val="between"/>
        <c:majorUnit val="5"/>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2000">
                <a:latin typeface="Arial Narrow" pitchFamily="34" charset="0"/>
              </a:defRPr>
            </a:pPr>
            <a:r>
              <a:rPr lang="da-DK" sz="1200" dirty="0" smtClean="0">
                <a:latin typeface="Arial Narrow" pitchFamily="34" charset="0"/>
              </a:rPr>
              <a:t>NIIP. Net International Investment Position</a:t>
            </a:r>
            <a:r>
              <a:rPr lang="da-DK" sz="1200" baseline="0" dirty="0" smtClean="0">
                <a:latin typeface="Arial Narrow" pitchFamily="34" charset="0"/>
              </a:rPr>
              <a:t> as per cent of GDP 1998-2013</a:t>
            </a:r>
            <a:endParaRPr lang="da-DK" sz="1200" dirty="0">
              <a:latin typeface="Arial Narrow" pitchFamily="34" charset="0"/>
            </a:endParaRPr>
          </a:p>
        </c:rich>
      </c:tx>
      <c:overlay val="0"/>
      <c:spPr>
        <a:solidFill>
          <a:schemeClr val="accent5">
            <a:lumMod val="20000"/>
            <a:lumOff val="80000"/>
          </a:schemeClr>
        </a:solidFill>
      </c:spPr>
    </c:title>
    <c:autoTitleDeleted val="0"/>
    <c:plotArea>
      <c:layout/>
      <c:lineChart>
        <c:grouping val="standard"/>
        <c:varyColors val="0"/>
        <c:ser>
          <c:idx val="2"/>
          <c:order val="0"/>
          <c:tx>
            <c:strRef>
              <c:f>'20143901111135408083DNDAPU00752'!$B$8</c:f>
              <c:strCache>
                <c:ptCount val="1"/>
                <c:pt idx="0">
                  <c:v>NIIP as per cent of GDP</c:v>
                </c:pt>
              </c:strCache>
            </c:strRef>
          </c:tx>
          <c:spPr>
            <a:ln w="44450">
              <a:solidFill>
                <a:srgbClr val="FF0000"/>
              </a:solidFill>
            </a:ln>
          </c:spPr>
          <c:marker>
            <c:symbol val="none"/>
          </c:marker>
          <c:cat>
            <c:strRef>
              <c:f>'20143901111135408083DNDAPU00752'!$C$5:$BJ$5</c:f>
              <c:strCache>
                <c:ptCount val="60"/>
                <c:pt idx="0">
                  <c:v>1998K4</c:v>
                </c:pt>
                <c:pt idx="1">
                  <c:v>1999K1</c:v>
                </c:pt>
                <c:pt idx="2">
                  <c:v>1999K2</c:v>
                </c:pt>
                <c:pt idx="3">
                  <c:v>1999K3</c:v>
                </c:pt>
                <c:pt idx="4">
                  <c:v>1999K4</c:v>
                </c:pt>
                <c:pt idx="5">
                  <c:v>2000K1</c:v>
                </c:pt>
                <c:pt idx="6">
                  <c:v>2000K2</c:v>
                </c:pt>
                <c:pt idx="7">
                  <c:v>2000K3</c:v>
                </c:pt>
                <c:pt idx="8">
                  <c:v>2000K4</c:v>
                </c:pt>
                <c:pt idx="9">
                  <c:v>2001K1</c:v>
                </c:pt>
                <c:pt idx="10">
                  <c:v>2001K2</c:v>
                </c:pt>
                <c:pt idx="11">
                  <c:v>2001K3</c:v>
                </c:pt>
                <c:pt idx="12">
                  <c:v>2001K4</c:v>
                </c:pt>
                <c:pt idx="13">
                  <c:v>2002K1</c:v>
                </c:pt>
                <c:pt idx="14">
                  <c:v>2002K2</c:v>
                </c:pt>
                <c:pt idx="15">
                  <c:v>2002K3</c:v>
                </c:pt>
                <c:pt idx="16">
                  <c:v>2002K4</c:v>
                </c:pt>
                <c:pt idx="17">
                  <c:v>2003K1</c:v>
                </c:pt>
                <c:pt idx="18">
                  <c:v>2003K2</c:v>
                </c:pt>
                <c:pt idx="19">
                  <c:v>2003K3</c:v>
                </c:pt>
                <c:pt idx="20">
                  <c:v>2003K4</c:v>
                </c:pt>
                <c:pt idx="21">
                  <c:v>2004K1</c:v>
                </c:pt>
                <c:pt idx="22">
                  <c:v>2004K2</c:v>
                </c:pt>
                <c:pt idx="23">
                  <c:v>2004K3</c:v>
                </c:pt>
                <c:pt idx="24">
                  <c:v>2004K4</c:v>
                </c:pt>
                <c:pt idx="25">
                  <c:v>2005K1</c:v>
                </c:pt>
                <c:pt idx="26">
                  <c:v>2005K2</c:v>
                </c:pt>
                <c:pt idx="27">
                  <c:v>2005K3</c:v>
                </c:pt>
                <c:pt idx="28">
                  <c:v>2005K4</c:v>
                </c:pt>
                <c:pt idx="29">
                  <c:v>2006K1</c:v>
                </c:pt>
                <c:pt idx="30">
                  <c:v>2006K2</c:v>
                </c:pt>
                <c:pt idx="31">
                  <c:v>2006K3</c:v>
                </c:pt>
                <c:pt idx="32">
                  <c:v>2006K4</c:v>
                </c:pt>
                <c:pt idx="33">
                  <c:v>2007K1</c:v>
                </c:pt>
                <c:pt idx="34">
                  <c:v>2007K2</c:v>
                </c:pt>
                <c:pt idx="35">
                  <c:v>2007K3</c:v>
                </c:pt>
                <c:pt idx="36">
                  <c:v>2007K4</c:v>
                </c:pt>
                <c:pt idx="37">
                  <c:v>2008K1</c:v>
                </c:pt>
                <c:pt idx="38">
                  <c:v>2008K2</c:v>
                </c:pt>
                <c:pt idx="39">
                  <c:v>2008K3</c:v>
                </c:pt>
                <c:pt idx="40">
                  <c:v>2008K4</c:v>
                </c:pt>
                <c:pt idx="41">
                  <c:v>2009K1</c:v>
                </c:pt>
                <c:pt idx="42">
                  <c:v>2009K2</c:v>
                </c:pt>
                <c:pt idx="43">
                  <c:v>2009K3</c:v>
                </c:pt>
                <c:pt idx="44">
                  <c:v>2009K4</c:v>
                </c:pt>
                <c:pt idx="45">
                  <c:v>2010K1</c:v>
                </c:pt>
                <c:pt idx="46">
                  <c:v>2010K2</c:v>
                </c:pt>
                <c:pt idx="47">
                  <c:v>2010K3</c:v>
                </c:pt>
                <c:pt idx="48">
                  <c:v>2010K4</c:v>
                </c:pt>
                <c:pt idx="49">
                  <c:v>2011K1</c:v>
                </c:pt>
                <c:pt idx="50">
                  <c:v>2011K2</c:v>
                </c:pt>
                <c:pt idx="51">
                  <c:v>2011K3</c:v>
                </c:pt>
                <c:pt idx="52">
                  <c:v>2011K4</c:v>
                </c:pt>
                <c:pt idx="53">
                  <c:v>2012K1</c:v>
                </c:pt>
                <c:pt idx="54">
                  <c:v>2012K2</c:v>
                </c:pt>
                <c:pt idx="55">
                  <c:v>2012K3</c:v>
                </c:pt>
                <c:pt idx="56">
                  <c:v>2012K4</c:v>
                </c:pt>
                <c:pt idx="57">
                  <c:v>2013K1</c:v>
                </c:pt>
                <c:pt idx="58">
                  <c:v>2013K2</c:v>
                </c:pt>
                <c:pt idx="59">
                  <c:v>2013K3</c:v>
                </c:pt>
              </c:strCache>
            </c:strRef>
          </c:cat>
          <c:val>
            <c:numRef>
              <c:f>'20143901111135408083DNDAPU00752'!$C$8:$BJ$8</c:f>
              <c:numCache>
                <c:formatCode>0.0</c:formatCode>
                <c:ptCount val="60"/>
                <c:pt idx="0">
                  <c:v>-24.169434090138889</c:v>
                </c:pt>
                <c:pt idx="1">
                  <c:v>-21.847870182555791</c:v>
                </c:pt>
                <c:pt idx="2">
                  <c:v>-19.171921672751431</c:v>
                </c:pt>
                <c:pt idx="3">
                  <c:v>-17.052398160315377</c:v>
                </c:pt>
                <c:pt idx="4">
                  <c:v>-12.19004488618147</c:v>
                </c:pt>
                <c:pt idx="5">
                  <c:v>-17.101387574897508</c:v>
                </c:pt>
                <c:pt idx="6">
                  <c:v>-13.90366043613707</c:v>
                </c:pt>
                <c:pt idx="7">
                  <c:v>-18.855864197530895</c:v>
                </c:pt>
                <c:pt idx="8">
                  <c:v>-16.407954203073217</c:v>
                </c:pt>
                <c:pt idx="9">
                  <c:v>-21.187063467962343</c:v>
                </c:pt>
                <c:pt idx="10">
                  <c:v>-22.146806266947877</c:v>
                </c:pt>
                <c:pt idx="11">
                  <c:v>-24.124851101846794</c:v>
                </c:pt>
                <c:pt idx="12">
                  <c:v>-16.283003544004689</c:v>
                </c:pt>
                <c:pt idx="13">
                  <c:v>-16.56945681211042</c:v>
                </c:pt>
                <c:pt idx="14">
                  <c:v>-18.262394897071385</c:v>
                </c:pt>
                <c:pt idx="15">
                  <c:v>-18.947200464171729</c:v>
                </c:pt>
                <c:pt idx="16">
                  <c:v>-16.267037250938486</c:v>
                </c:pt>
                <c:pt idx="17">
                  <c:v>-13.825431034482895</c:v>
                </c:pt>
                <c:pt idx="18">
                  <c:v>-12.472543352601299</c:v>
                </c:pt>
                <c:pt idx="19">
                  <c:v>-12.68236472945892</c:v>
                </c:pt>
                <c:pt idx="20">
                  <c:v>-9.5700895355344748</c:v>
                </c:pt>
                <c:pt idx="21">
                  <c:v>-9.4159512600387689</c:v>
                </c:pt>
                <c:pt idx="22">
                  <c:v>-9.0094962840628732</c:v>
                </c:pt>
                <c:pt idx="23">
                  <c:v>-8.9606267029972777</c:v>
                </c:pt>
                <c:pt idx="24">
                  <c:v>-5.1745597652081106</c:v>
                </c:pt>
                <c:pt idx="25">
                  <c:v>-4.6310673102708524</c:v>
                </c:pt>
                <c:pt idx="26">
                  <c:v>-0.35746402877697847</c:v>
                </c:pt>
                <c:pt idx="27">
                  <c:v>1.8178901437371546</c:v>
                </c:pt>
                <c:pt idx="28">
                  <c:v>3.8528328252032029</c:v>
                </c:pt>
                <c:pt idx="29">
                  <c:v>1.8443691998996739</c:v>
                </c:pt>
                <c:pt idx="30">
                  <c:v>-1.7152052465387417</c:v>
                </c:pt>
                <c:pt idx="31">
                  <c:v>1.4713194276012611</c:v>
                </c:pt>
                <c:pt idx="32">
                  <c:v>-0.17744498777506446</c:v>
                </c:pt>
                <c:pt idx="33">
                  <c:v>-4.7280973979470042</c:v>
                </c:pt>
                <c:pt idx="34">
                  <c:v>-4.1130980861244018</c:v>
                </c:pt>
                <c:pt idx="35">
                  <c:v>-4.3838949104618283</c:v>
                </c:pt>
                <c:pt idx="36">
                  <c:v>-5.6306176538372865</c:v>
                </c:pt>
                <c:pt idx="37">
                  <c:v>-9.1189158016147189</c:v>
                </c:pt>
                <c:pt idx="38">
                  <c:v>-8.0479552643470402</c:v>
                </c:pt>
                <c:pt idx="39">
                  <c:v>-5.7747630866426825</c:v>
                </c:pt>
                <c:pt idx="40">
                  <c:v>-5.1437874596588289</c:v>
                </c:pt>
                <c:pt idx="41">
                  <c:v>-5.2494623655914134</c:v>
                </c:pt>
                <c:pt idx="42">
                  <c:v>-3.6323997064579556</c:v>
                </c:pt>
                <c:pt idx="43">
                  <c:v>0.7386690647482016</c:v>
                </c:pt>
                <c:pt idx="44">
                  <c:v>4.3396551724137931</c:v>
                </c:pt>
                <c:pt idx="45">
                  <c:v>8.1297142187867362</c:v>
                </c:pt>
                <c:pt idx="46">
                  <c:v>9.2502273243918989</c:v>
                </c:pt>
                <c:pt idx="47">
                  <c:v>13.460417133886526</c:v>
                </c:pt>
                <c:pt idx="48">
                  <c:v>13.780628213726805</c:v>
                </c:pt>
                <c:pt idx="49">
                  <c:v>14.80600848782667</c:v>
                </c:pt>
                <c:pt idx="50">
                  <c:v>18.48151859274077</c:v>
                </c:pt>
                <c:pt idx="51">
                  <c:v>26.02610936799643</c:v>
                </c:pt>
                <c:pt idx="52">
                  <c:v>28.690884778248538</c:v>
                </c:pt>
                <c:pt idx="53">
                  <c:v>29.851113070310777</c:v>
                </c:pt>
                <c:pt idx="54">
                  <c:v>32.943511198946005</c:v>
                </c:pt>
                <c:pt idx="55">
                  <c:v>36.431139681847895</c:v>
                </c:pt>
                <c:pt idx="56">
                  <c:v>37.694219842657361</c:v>
                </c:pt>
                <c:pt idx="57">
                  <c:v>40.751799345692042</c:v>
                </c:pt>
                <c:pt idx="58">
                  <c:v>40.033890086206895</c:v>
                </c:pt>
                <c:pt idx="59">
                  <c:v>39.342570880409312</c:v>
                </c:pt>
              </c:numCache>
            </c:numRef>
          </c:val>
          <c:smooth val="0"/>
        </c:ser>
        <c:dLbls>
          <c:showLegendKey val="0"/>
          <c:showVal val="0"/>
          <c:showCatName val="0"/>
          <c:showSerName val="0"/>
          <c:showPercent val="0"/>
          <c:showBubbleSize val="0"/>
        </c:dLbls>
        <c:smooth val="0"/>
        <c:axId val="482882536"/>
        <c:axId val="482878616"/>
      </c:lineChart>
      <c:catAx>
        <c:axId val="482882536"/>
        <c:scaling>
          <c:orientation val="minMax"/>
        </c:scaling>
        <c:delete val="0"/>
        <c:axPos val="b"/>
        <c:numFmt formatCode="General" sourceLinked="0"/>
        <c:majorTickMark val="none"/>
        <c:minorTickMark val="none"/>
        <c:tickLblPos val="nextTo"/>
        <c:txPr>
          <a:bodyPr/>
          <a:lstStyle/>
          <a:p>
            <a:pPr>
              <a:defRPr sz="800">
                <a:latin typeface="Arial Narrow" pitchFamily="34" charset="0"/>
              </a:defRPr>
            </a:pPr>
            <a:endParaRPr lang="en-US"/>
          </a:p>
        </c:txPr>
        <c:crossAx val="482878616"/>
        <c:crosses val="autoZero"/>
        <c:auto val="1"/>
        <c:lblAlgn val="ctr"/>
        <c:lblOffset val="100"/>
        <c:noMultiLvlLbl val="0"/>
      </c:catAx>
      <c:valAx>
        <c:axId val="482878616"/>
        <c:scaling>
          <c:orientation val="minMax"/>
        </c:scaling>
        <c:delete val="0"/>
        <c:axPos val="l"/>
        <c:majorGridlines/>
        <c:numFmt formatCode="0.0" sourceLinked="1"/>
        <c:majorTickMark val="none"/>
        <c:minorTickMark val="none"/>
        <c:tickLblPos val="nextTo"/>
        <c:spPr>
          <a:ln w="9525">
            <a:noFill/>
          </a:ln>
        </c:spPr>
        <c:txPr>
          <a:bodyPr/>
          <a:lstStyle/>
          <a:p>
            <a:pPr>
              <a:defRPr sz="1400" b="1"/>
            </a:pPr>
            <a:endParaRPr lang="en-US"/>
          </a:p>
        </c:txPr>
        <c:crossAx val="4828825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2. Unemployment in Denmark,</a:t>
            </a:r>
            <a:r>
              <a:rPr lang="en-US" sz="1200" baseline="0"/>
              <a:t> 1979-2014.</a:t>
            </a:r>
          </a:p>
          <a:p>
            <a:pPr>
              <a:defRPr/>
            </a:pPr>
            <a:r>
              <a:rPr lang="en-US" sz="1200" baseline="0"/>
              <a:t>Per cent of labour force</a:t>
            </a:r>
            <a:endParaRPr lang="en-US" sz="1200"/>
          </a:p>
        </c:rich>
      </c:tx>
      <c:overlay val="0"/>
    </c:title>
    <c:autoTitleDeleted val="0"/>
    <c:plotArea>
      <c:layout/>
      <c:lineChart>
        <c:grouping val="standard"/>
        <c:varyColors val="0"/>
        <c:ser>
          <c:idx val="0"/>
          <c:order val="0"/>
          <c:tx>
            <c:strRef>
              <c:f>AULAAR!$C$3</c:f>
              <c:strCache>
                <c:ptCount val="1"/>
                <c:pt idx="0">
                  <c:v>National figures</c:v>
                </c:pt>
              </c:strCache>
            </c:strRef>
          </c:tx>
          <c:spPr>
            <a:ln w="31750">
              <a:solidFill>
                <a:schemeClr val="tx1"/>
              </a:solidFill>
            </a:ln>
          </c:spPr>
          <c:marker>
            <c:symbol val="none"/>
          </c:marker>
          <c:cat>
            <c:strRef>
              <c:f>AULAAR!$B$4:$B$39</c:f>
              <c:strCache>
                <c:ptCount val="36"/>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strCache>
            </c:strRef>
          </c:cat>
          <c:val>
            <c:numRef>
              <c:f>AULAAR!$C$4:$C$39</c:f>
              <c:numCache>
                <c:formatCode>0.0</c:formatCode>
                <c:ptCount val="36"/>
                <c:pt idx="0">
                  <c:v>6.1</c:v>
                </c:pt>
                <c:pt idx="1">
                  <c:v>6.9</c:v>
                </c:pt>
                <c:pt idx="2">
                  <c:v>8.9</c:v>
                </c:pt>
                <c:pt idx="3">
                  <c:v>9.5</c:v>
                </c:pt>
                <c:pt idx="4">
                  <c:v>10</c:v>
                </c:pt>
                <c:pt idx="5">
                  <c:v>9.6</c:v>
                </c:pt>
                <c:pt idx="6">
                  <c:v>8.6</c:v>
                </c:pt>
                <c:pt idx="7">
                  <c:v>7.5</c:v>
                </c:pt>
                <c:pt idx="8">
                  <c:v>7.5</c:v>
                </c:pt>
                <c:pt idx="9">
                  <c:v>8.3000000000000007</c:v>
                </c:pt>
                <c:pt idx="10">
                  <c:v>9.1</c:v>
                </c:pt>
                <c:pt idx="11">
                  <c:v>9.3000000000000007</c:v>
                </c:pt>
                <c:pt idx="12">
                  <c:v>10.1</c:v>
                </c:pt>
                <c:pt idx="13">
                  <c:v>10.9</c:v>
                </c:pt>
                <c:pt idx="14">
                  <c:v>11.9</c:v>
                </c:pt>
                <c:pt idx="15">
                  <c:v>11.8</c:v>
                </c:pt>
                <c:pt idx="16">
                  <c:v>9.8000000000000007</c:v>
                </c:pt>
                <c:pt idx="17">
                  <c:v>8.2000000000000011</c:v>
                </c:pt>
                <c:pt idx="18">
                  <c:v>7.3</c:v>
                </c:pt>
                <c:pt idx="19">
                  <c:v>6</c:v>
                </c:pt>
                <c:pt idx="20">
                  <c:v>5.2</c:v>
                </c:pt>
                <c:pt idx="21">
                  <c:v>4.9000000000000004</c:v>
                </c:pt>
                <c:pt idx="22">
                  <c:v>4.7</c:v>
                </c:pt>
                <c:pt idx="23">
                  <c:v>4.8</c:v>
                </c:pt>
                <c:pt idx="24">
                  <c:v>5.8</c:v>
                </c:pt>
                <c:pt idx="25">
                  <c:v>5.8</c:v>
                </c:pt>
                <c:pt idx="26">
                  <c:v>5.0999999999999996</c:v>
                </c:pt>
                <c:pt idx="27">
                  <c:v>3.9</c:v>
                </c:pt>
                <c:pt idx="28">
                  <c:v>2.7</c:v>
                </c:pt>
                <c:pt idx="29">
                  <c:v>1.9000000000000001</c:v>
                </c:pt>
                <c:pt idx="30">
                  <c:v>3.6</c:v>
                </c:pt>
                <c:pt idx="31">
                  <c:v>4.2</c:v>
                </c:pt>
                <c:pt idx="32">
                  <c:v>4.0999999999999996</c:v>
                </c:pt>
                <c:pt idx="33">
                  <c:v>4.5</c:v>
                </c:pt>
                <c:pt idx="34">
                  <c:v>4.4000000000000004</c:v>
                </c:pt>
                <c:pt idx="35">
                  <c:v>4</c:v>
                </c:pt>
              </c:numCache>
            </c:numRef>
          </c:val>
          <c:smooth val="0"/>
        </c:ser>
        <c:ser>
          <c:idx val="1"/>
          <c:order val="1"/>
          <c:tx>
            <c:strRef>
              <c:f>AULAAR!$D$3</c:f>
              <c:strCache>
                <c:ptCount val="1"/>
                <c:pt idx="0">
                  <c:v>Eurostat figures</c:v>
                </c:pt>
              </c:strCache>
            </c:strRef>
          </c:tx>
          <c:spPr>
            <a:ln>
              <a:solidFill>
                <a:prstClr val="black"/>
              </a:solidFill>
              <a:prstDash val="sysDash"/>
            </a:ln>
          </c:spPr>
          <c:marker>
            <c:symbol val="none"/>
          </c:marker>
          <c:cat>
            <c:strRef>
              <c:f>AULAAR!$B$4:$B$39</c:f>
              <c:strCache>
                <c:ptCount val="36"/>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strCache>
            </c:strRef>
          </c:cat>
          <c:val>
            <c:numRef>
              <c:f>AULAAR!$D$4:$D$39</c:f>
              <c:numCache>
                <c:formatCode>General</c:formatCode>
                <c:ptCount val="36"/>
                <c:pt idx="11" formatCode="0.0">
                  <c:v>7.2</c:v>
                </c:pt>
                <c:pt idx="12" formatCode="0.0">
                  <c:v>7.9</c:v>
                </c:pt>
                <c:pt idx="13" formatCode="0.0">
                  <c:v>8.6</c:v>
                </c:pt>
                <c:pt idx="14" formatCode="0.0">
                  <c:v>9.6</c:v>
                </c:pt>
                <c:pt idx="15" formatCode="0.0">
                  <c:v>7.7</c:v>
                </c:pt>
                <c:pt idx="16" formatCode="0.0">
                  <c:v>6.7</c:v>
                </c:pt>
                <c:pt idx="17" formatCode="0.0">
                  <c:v>6.3</c:v>
                </c:pt>
                <c:pt idx="18" formatCode="0.0">
                  <c:v>5.2</c:v>
                </c:pt>
                <c:pt idx="19" formatCode="0.0">
                  <c:v>4.9000000000000004</c:v>
                </c:pt>
                <c:pt idx="20" formatCode="0.0">
                  <c:v>5.2</c:v>
                </c:pt>
                <c:pt idx="21" formatCode="0.0">
                  <c:v>4.3</c:v>
                </c:pt>
                <c:pt idx="22" formatCode="0.0">
                  <c:v>4.5</c:v>
                </c:pt>
                <c:pt idx="23" formatCode="0.0">
                  <c:v>4.5999999999999996</c:v>
                </c:pt>
                <c:pt idx="24" formatCode="0.0">
                  <c:v>5.4</c:v>
                </c:pt>
                <c:pt idx="25" formatCode="0.0">
                  <c:v>5.5</c:v>
                </c:pt>
                <c:pt idx="26" formatCode="0.0">
                  <c:v>4.8</c:v>
                </c:pt>
                <c:pt idx="27" formatCode="0.0">
                  <c:v>3.9</c:v>
                </c:pt>
                <c:pt idx="28" formatCode="0.0">
                  <c:v>3.8</c:v>
                </c:pt>
                <c:pt idx="29" formatCode="0.0">
                  <c:v>3.4</c:v>
                </c:pt>
                <c:pt idx="30" formatCode="0.0">
                  <c:v>6</c:v>
                </c:pt>
                <c:pt idx="31" formatCode="0.0">
                  <c:v>7.5</c:v>
                </c:pt>
                <c:pt idx="32" formatCode="0.0">
                  <c:v>7.6</c:v>
                </c:pt>
                <c:pt idx="33" formatCode="0.0">
                  <c:v>7.5</c:v>
                </c:pt>
                <c:pt idx="34" formatCode="0.0">
                  <c:v>7</c:v>
                </c:pt>
                <c:pt idx="35" formatCode="0.0">
                  <c:v>6.6</c:v>
                </c:pt>
              </c:numCache>
            </c:numRef>
          </c:val>
          <c:smooth val="0"/>
        </c:ser>
        <c:dLbls>
          <c:showLegendKey val="0"/>
          <c:showVal val="0"/>
          <c:showCatName val="0"/>
          <c:showSerName val="0"/>
          <c:showPercent val="0"/>
          <c:showBubbleSize val="0"/>
        </c:dLbls>
        <c:smooth val="0"/>
        <c:axId val="397923664"/>
        <c:axId val="312218616"/>
      </c:lineChart>
      <c:catAx>
        <c:axId val="397923664"/>
        <c:scaling>
          <c:orientation val="minMax"/>
        </c:scaling>
        <c:delete val="0"/>
        <c:axPos val="b"/>
        <c:numFmt formatCode="General" sourceLinked="0"/>
        <c:majorTickMark val="none"/>
        <c:minorTickMark val="none"/>
        <c:tickLblPos val="nextTo"/>
        <c:txPr>
          <a:bodyPr/>
          <a:lstStyle/>
          <a:p>
            <a:pPr>
              <a:defRPr sz="800" b="1">
                <a:latin typeface="Arial Narrow" pitchFamily="34" charset="0"/>
              </a:defRPr>
            </a:pPr>
            <a:endParaRPr lang="en-US"/>
          </a:p>
        </c:txPr>
        <c:crossAx val="312218616"/>
        <c:crosses val="autoZero"/>
        <c:auto val="1"/>
        <c:lblAlgn val="ctr"/>
        <c:lblOffset val="100"/>
        <c:noMultiLvlLbl val="0"/>
      </c:catAx>
      <c:valAx>
        <c:axId val="312218616"/>
        <c:scaling>
          <c:orientation val="minMax"/>
          <c:max val="12"/>
        </c:scaling>
        <c:delete val="0"/>
        <c:axPos val="l"/>
        <c:majorGridlines/>
        <c:numFmt formatCode="0.0" sourceLinked="1"/>
        <c:majorTickMark val="none"/>
        <c:minorTickMark val="none"/>
        <c:tickLblPos val="nextTo"/>
        <c:spPr>
          <a:ln w="9525">
            <a:noFill/>
          </a:ln>
        </c:spPr>
        <c:crossAx val="397923664"/>
        <c:crosses val="autoZero"/>
        <c:crossBetween val="between"/>
        <c:majorUnit val="1"/>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dirty="0" smtClean="0">
                <a:latin typeface="Arial Narrow" pitchFamily="34" charset="0"/>
              </a:rPr>
              <a:t>Figure 4. House Prices 1992-2014 </a:t>
            </a:r>
            <a:r>
              <a:rPr lang="en-US" sz="1100" dirty="0">
                <a:latin typeface="Arial Narrow" pitchFamily="34" charset="0"/>
              </a:rPr>
              <a:t>(1992=100)</a:t>
            </a:r>
          </a:p>
        </c:rich>
      </c:tx>
      <c:overlay val="0"/>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c:spPr>
    </c:title>
    <c:autoTitleDeleted val="0"/>
    <c:plotArea>
      <c:layout>
        <c:manualLayout>
          <c:layoutTarget val="inner"/>
          <c:xMode val="edge"/>
          <c:yMode val="edge"/>
          <c:x val="8.1292703588490223E-2"/>
          <c:y val="8.3775413842906502E-2"/>
          <c:w val="0.89519139077139587"/>
          <c:h val="0.73695531845668283"/>
        </c:manualLayout>
      </c:layout>
      <c:lineChart>
        <c:grouping val="standard"/>
        <c:varyColors val="0"/>
        <c:ser>
          <c:idx val="0"/>
          <c:order val="0"/>
          <c:tx>
            <c:strRef>
              <c:f>'201492345735145616176BM01017864'!$C$13</c:f>
              <c:strCache>
                <c:ptCount val="1"/>
                <c:pt idx="0">
                  <c:v>Parcel-/rækkehus</c:v>
                </c:pt>
              </c:strCache>
            </c:strRef>
          </c:tx>
          <c:spPr>
            <a:ln w="38100">
              <a:solidFill>
                <a:schemeClr val="tx1"/>
              </a:solidFill>
              <a:prstDash val="sysDash"/>
            </a:ln>
          </c:spPr>
          <c:marker>
            <c:symbol val="none"/>
          </c:marker>
          <c:dPt>
            <c:idx val="47"/>
            <c:marker>
              <c:symbol val="auto"/>
              <c:spPr>
                <a:solidFill>
                  <a:prstClr val="black"/>
                </a:solidFill>
              </c:spPr>
            </c:marker>
            <c:bubble3D val="0"/>
          </c:dPt>
          <c:dPt>
            <c:idx val="61"/>
            <c:marker>
              <c:symbol val="auto"/>
              <c:spPr>
                <a:solidFill>
                  <a:prstClr val="black"/>
                </a:solidFill>
              </c:spPr>
            </c:marker>
            <c:bubble3D val="0"/>
          </c:dPt>
          <c:dLbls>
            <c:dLbl>
              <c:idx val="47"/>
              <c:showLegendKey val="0"/>
              <c:showVal val="1"/>
              <c:showCatName val="0"/>
              <c:showSerName val="0"/>
              <c:showPercent val="0"/>
              <c:showBubbleSize val="0"/>
              <c:extLst>
                <c:ext xmlns:c15="http://schemas.microsoft.com/office/drawing/2012/chart" uri="{CE6537A1-D6FC-4f65-9D91-7224C49458BB}"/>
              </c:extLst>
            </c:dLbl>
            <c:dLbl>
              <c:idx val="61"/>
              <c:showLegendKey val="0"/>
              <c:showVal val="1"/>
              <c:showCatName val="0"/>
              <c:showSerName val="0"/>
              <c:showPercent val="0"/>
              <c:showBubbleSize val="0"/>
              <c:extLst>
                <c:ext xmlns:c15="http://schemas.microsoft.com/office/drawing/2012/chart" uri="{CE6537A1-D6FC-4f65-9D91-7224C49458BB}"/>
              </c:extLst>
            </c:dLbl>
            <c:dLbl>
              <c:idx val="89"/>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a:latin typeface="Arial Narrow"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'201492345735145616176BM01017864'!$D$12:$CO$12</c:f>
              <c:strCache>
                <c:ptCount val="90"/>
                <c:pt idx="0">
                  <c:v>1992K1</c:v>
                </c:pt>
                <c:pt idx="1">
                  <c:v>1992K2</c:v>
                </c:pt>
                <c:pt idx="2">
                  <c:v>1992K3</c:v>
                </c:pt>
                <c:pt idx="3">
                  <c:v>1992K4</c:v>
                </c:pt>
                <c:pt idx="4">
                  <c:v>1993K1</c:v>
                </c:pt>
                <c:pt idx="5">
                  <c:v>1993K2</c:v>
                </c:pt>
                <c:pt idx="6">
                  <c:v>1993K3</c:v>
                </c:pt>
                <c:pt idx="7">
                  <c:v>1993K4</c:v>
                </c:pt>
                <c:pt idx="8">
                  <c:v>1994K1</c:v>
                </c:pt>
                <c:pt idx="9">
                  <c:v>1994K2</c:v>
                </c:pt>
                <c:pt idx="10">
                  <c:v>1994K3</c:v>
                </c:pt>
                <c:pt idx="11">
                  <c:v>1994K4</c:v>
                </c:pt>
                <c:pt idx="12">
                  <c:v>1995K1</c:v>
                </c:pt>
                <c:pt idx="13">
                  <c:v>1995K2</c:v>
                </c:pt>
                <c:pt idx="14">
                  <c:v>1995K3</c:v>
                </c:pt>
                <c:pt idx="15">
                  <c:v>1995K4</c:v>
                </c:pt>
                <c:pt idx="16">
                  <c:v>1996K1</c:v>
                </c:pt>
                <c:pt idx="17">
                  <c:v>1996K2</c:v>
                </c:pt>
                <c:pt idx="18">
                  <c:v>1996K3</c:v>
                </c:pt>
                <c:pt idx="19">
                  <c:v>1996K4</c:v>
                </c:pt>
                <c:pt idx="20">
                  <c:v>1997K1</c:v>
                </c:pt>
                <c:pt idx="21">
                  <c:v>1997K2</c:v>
                </c:pt>
                <c:pt idx="22">
                  <c:v>1997K3</c:v>
                </c:pt>
                <c:pt idx="23">
                  <c:v>1997K4</c:v>
                </c:pt>
                <c:pt idx="24">
                  <c:v>1998K1</c:v>
                </c:pt>
                <c:pt idx="25">
                  <c:v>1998K2</c:v>
                </c:pt>
                <c:pt idx="26">
                  <c:v>1998K3</c:v>
                </c:pt>
                <c:pt idx="27">
                  <c:v>1998K4</c:v>
                </c:pt>
                <c:pt idx="28">
                  <c:v>1999K1</c:v>
                </c:pt>
                <c:pt idx="29">
                  <c:v>1999K2</c:v>
                </c:pt>
                <c:pt idx="30">
                  <c:v>1999K3</c:v>
                </c:pt>
                <c:pt idx="31">
                  <c:v>1999K4</c:v>
                </c:pt>
                <c:pt idx="32">
                  <c:v>2000K1</c:v>
                </c:pt>
                <c:pt idx="33">
                  <c:v>2000K2</c:v>
                </c:pt>
                <c:pt idx="34">
                  <c:v>2000K3</c:v>
                </c:pt>
                <c:pt idx="35">
                  <c:v>2000K4</c:v>
                </c:pt>
                <c:pt idx="36">
                  <c:v>2001K1</c:v>
                </c:pt>
                <c:pt idx="37">
                  <c:v>2001K2</c:v>
                </c:pt>
                <c:pt idx="38">
                  <c:v>2001K3</c:v>
                </c:pt>
                <c:pt idx="39">
                  <c:v>2001K4</c:v>
                </c:pt>
                <c:pt idx="40">
                  <c:v>2002K1</c:v>
                </c:pt>
                <c:pt idx="41">
                  <c:v>2002K2</c:v>
                </c:pt>
                <c:pt idx="42">
                  <c:v>2002K3</c:v>
                </c:pt>
                <c:pt idx="43">
                  <c:v>2002K4</c:v>
                </c:pt>
                <c:pt idx="44">
                  <c:v>2003K1</c:v>
                </c:pt>
                <c:pt idx="45">
                  <c:v>2003K2</c:v>
                </c:pt>
                <c:pt idx="46">
                  <c:v>2003K3</c:v>
                </c:pt>
                <c:pt idx="47">
                  <c:v>2003K4</c:v>
                </c:pt>
                <c:pt idx="48">
                  <c:v>2004K1</c:v>
                </c:pt>
                <c:pt idx="49">
                  <c:v>2004K2</c:v>
                </c:pt>
                <c:pt idx="50">
                  <c:v>2004K3</c:v>
                </c:pt>
                <c:pt idx="51">
                  <c:v>2004K4</c:v>
                </c:pt>
                <c:pt idx="52">
                  <c:v>2005K1</c:v>
                </c:pt>
                <c:pt idx="53">
                  <c:v>2005K2</c:v>
                </c:pt>
                <c:pt idx="54">
                  <c:v>2005K3</c:v>
                </c:pt>
                <c:pt idx="55">
                  <c:v>2005K4</c:v>
                </c:pt>
                <c:pt idx="56">
                  <c:v>2006K1</c:v>
                </c:pt>
                <c:pt idx="57">
                  <c:v>2006K2</c:v>
                </c:pt>
                <c:pt idx="58">
                  <c:v>2006K3</c:v>
                </c:pt>
                <c:pt idx="59">
                  <c:v>2006K4</c:v>
                </c:pt>
                <c:pt idx="60">
                  <c:v>2007K1</c:v>
                </c:pt>
                <c:pt idx="61">
                  <c:v>2007K2</c:v>
                </c:pt>
                <c:pt idx="62">
                  <c:v>2007K3</c:v>
                </c:pt>
                <c:pt idx="63">
                  <c:v>2007K4</c:v>
                </c:pt>
                <c:pt idx="64">
                  <c:v>2008K1</c:v>
                </c:pt>
                <c:pt idx="65">
                  <c:v>2008K2</c:v>
                </c:pt>
                <c:pt idx="66">
                  <c:v>2008K3</c:v>
                </c:pt>
                <c:pt idx="67">
                  <c:v>2008K4</c:v>
                </c:pt>
                <c:pt idx="68">
                  <c:v>2009K1</c:v>
                </c:pt>
                <c:pt idx="69">
                  <c:v>2009K2</c:v>
                </c:pt>
                <c:pt idx="70">
                  <c:v>2009K3</c:v>
                </c:pt>
                <c:pt idx="71">
                  <c:v>2009K4</c:v>
                </c:pt>
                <c:pt idx="72">
                  <c:v>2010K1</c:v>
                </c:pt>
                <c:pt idx="73">
                  <c:v>2010K2</c:v>
                </c:pt>
                <c:pt idx="74">
                  <c:v>2010K3</c:v>
                </c:pt>
                <c:pt idx="75">
                  <c:v>2010K4</c:v>
                </c:pt>
                <c:pt idx="76">
                  <c:v>2011K1</c:v>
                </c:pt>
                <c:pt idx="77">
                  <c:v>2011K2</c:v>
                </c:pt>
                <c:pt idx="78">
                  <c:v>2011K3</c:v>
                </c:pt>
                <c:pt idx="79">
                  <c:v>2011K4</c:v>
                </c:pt>
                <c:pt idx="80">
                  <c:v>2012K1</c:v>
                </c:pt>
                <c:pt idx="81">
                  <c:v>2012K2</c:v>
                </c:pt>
                <c:pt idx="82">
                  <c:v>2012K3</c:v>
                </c:pt>
                <c:pt idx="83">
                  <c:v>2012K4</c:v>
                </c:pt>
                <c:pt idx="84">
                  <c:v>2013K1</c:v>
                </c:pt>
                <c:pt idx="85">
                  <c:v>2013K2</c:v>
                </c:pt>
                <c:pt idx="86">
                  <c:v>2013K3</c:v>
                </c:pt>
                <c:pt idx="87">
                  <c:v>2013K4</c:v>
                </c:pt>
                <c:pt idx="88">
                  <c:v>2014K1</c:v>
                </c:pt>
                <c:pt idx="89">
                  <c:v>2014K2</c:v>
                </c:pt>
              </c:strCache>
            </c:strRef>
          </c:cat>
          <c:val>
            <c:numRef>
              <c:f>'201492345735145616176BM01017864'!$D$13:$CO$13</c:f>
              <c:numCache>
                <c:formatCode>0.0</c:formatCode>
                <c:ptCount val="90"/>
                <c:pt idx="0">
                  <c:v>100</c:v>
                </c:pt>
                <c:pt idx="1">
                  <c:v>102.68589903009129</c:v>
                </c:pt>
                <c:pt idx="2">
                  <c:v>99.477741855259168</c:v>
                </c:pt>
                <c:pt idx="3">
                  <c:v>98.10992290475005</c:v>
                </c:pt>
                <c:pt idx="4">
                  <c:v>95.772195971151419</c:v>
                </c:pt>
                <c:pt idx="5">
                  <c:v>102.83511564287491</c:v>
                </c:pt>
                <c:pt idx="6">
                  <c:v>106.83909475254895</c:v>
                </c:pt>
                <c:pt idx="7">
                  <c:v>106.96344192986822</c:v>
                </c:pt>
                <c:pt idx="8">
                  <c:v>107.75926386471087</c:v>
                </c:pt>
                <c:pt idx="9">
                  <c:v>110.22133797562795</c:v>
                </c:pt>
                <c:pt idx="10">
                  <c:v>110.49490176572992</c:v>
                </c:pt>
                <c:pt idx="11">
                  <c:v>109.50012434717789</c:v>
                </c:pt>
                <c:pt idx="12">
                  <c:v>110.6689878139758</c:v>
                </c:pt>
                <c:pt idx="13">
                  <c:v>114.22531708530219</c:v>
                </c:pt>
                <c:pt idx="14">
                  <c:v>115.26983337478238</c:v>
                </c:pt>
                <c:pt idx="15">
                  <c:v>120.36806764486445</c:v>
                </c:pt>
                <c:pt idx="16">
                  <c:v>123.00422780402884</c:v>
                </c:pt>
                <c:pt idx="17">
                  <c:v>128.10246207411092</c:v>
                </c:pt>
                <c:pt idx="18">
                  <c:v>130.04227804028849</c:v>
                </c:pt>
                <c:pt idx="19">
                  <c:v>132.90226311862727</c:v>
                </c:pt>
                <c:pt idx="20">
                  <c:v>138.44814722705794</c:v>
                </c:pt>
                <c:pt idx="21">
                  <c:v>142.57647351405112</c:v>
                </c:pt>
                <c:pt idx="22">
                  <c:v>144.39194230291142</c:v>
                </c:pt>
                <c:pt idx="23">
                  <c:v>145.98358617259387</c:v>
                </c:pt>
                <c:pt idx="24">
                  <c:v>151.97712011937341</c:v>
                </c:pt>
                <c:pt idx="25">
                  <c:v>157.00074608306483</c:v>
                </c:pt>
                <c:pt idx="26">
                  <c:v>155.01119124595832</c:v>
                </c:pt>
                <c:pt idx="27">
                  <c:v>157.77169858244218</c:v>
                </c:pt>
                <c:pt idx="28">
                  <c:v>164.53618502859985</c:v>
                </c:pt>
                <c:pt idx="29">
                  <c:v>171.77319074856914</c:v>
                </c:pt>
                <c:pt idx="30">
                  <c:v>169.73389704053719</c:v>
                </c:pt>
                <c:pt idx="31">
                  <c:v>170.25615518527718</c:v>
                </c:pt>
                <c:pt idx="32">
                  <c:v>174.65804526237255</c:v>
                </c:pt>
                <c:pt idx="33">
                  <c:v>180.75105695100723</c:v>
                </c:pt>
                <c:pt idx="34">
                  <c:v>182.74061178811118</c:v>
                </c:pt>
                <c:pt idx="35">
                  <c:v>182.84008952996732</c:v>
                </c:pt>
                <c:pt idx="36">
                  <c:v>189.28127331509668</c:v>
                </c:pt>
                <c:pt idx="37">
                  <c:v>193.26038298930615</c:v>
                </c:pt>
                <c:pt idx="38">
                  <c:v>189.77866202437013</c:v>
                </c:pt>
                <c:pt idx="39">
                  <c:v>187.76423775180305</c:v>
                </c:pt>
                <c:pt idx="40">
                  <c:v>195.69758766475917</c:v>
                </c:pt>
                <c:pt idx="41">
                  <c:v>198.70678935588163</c:v>
                </c:pt>
                <c:pt idx="42">
                  <c:v>197.86122855011286</c:v>
                </c:pt>
                <c:pt idx="43">
                  <c:v>193.83238000497474</c:v>
                </c:pt>
                <c:pt idx="44">
                  <c:v>196.12036806764507</c:v>
                </c:pt>
                <c:pt idx="45">
                  <c:v>206.91370305893997</c:v>
                </c:pt>
                <c:pt idx="46">
                  <c:v>208.08256652574002</c:v>
                </c:pt>
                <c:pt idx="47">
                  <c:v>206.71474757523006</c:v>
                </c:pt>
                <c:pt idx="48">
                  <c:v>214.79731410096988</c:v>
                </c:pt>
                <c:pt idx="49">
                  <c:v>221.6115394180552</c:v>
                </c:pt>
                <c:pt idx="50">
                  <c:v>227.35637901019751</c:v>
                </c:pt>
                <c:pt idx="51">
                  <c:v>232.62869932852524</c:v>
                </c:pt>
                <c:pt idx="52">
                  <c:v>242.72569012683326</c:v>
                </c:pt>
                <c:pt idx="53">
                  <c:v>257.87117632429693</c:v>
                </c:pt>
                <c:pt idx="54">
                  <c:v>271.62397413578731</c:v>
                </c:pt>
                <c:pt idx="55">
                  <c:v>285.82442178562547</c:v>
                </c:pt>
                <c:pt idx="56">
                  <c:v>304.92414822183525</c:v>
                </c:pt>
                <c:pt idx="57">
                  <c:v>323.22805272320193</c:v>
                </c:pt>
                <c:pt idx="58">
                  <c:v>331.53444416811726</c:v>
                </c:pt>
                <c:pt idx="59">
                  <c:v>333.44939069883202</c:v>
                </c:pt>
                <c:pt idx="60">
                  <c:v>335.23999005222362</c:v>
                </c:pt>
                <c:pt idx="61">
                  <c:v>341.10917682168616</c:v>
                </c:pt>
                <c:pt idx="62">
                  <c:v>337.67719472767823</c:v>
                </c:pt>
                <c:pt idx="63">
                  <c:v>335.81198706789354</c:v>
                </c:pt>
                <c:pt idx="64">
                  <c:v>333.02661029594628</c:v>
                </c:pt>
                <c:pt idx="65">
                  <c:v>334.12086545635418</c:v>
                </c:pt>
                <c:pt idx="66">
                  <c:v>322.48196965928656</c:v>
                </c:pt>
                <c:pt idx="67">
                  <c:v>303.35737378761399</c:v>
                </c:pt>
                <c:pt idx="68">
                  <c:v>286.09798557572742</c:v>
                </c:pt>
                <c:pt idx="69">
                  <c:v>290.72370057199669</c:v>
                </c:pt>
                <c:pt idx="70">
                  <c:v>288.93310121859832</c:v>
                </c:pt>
                <c:pt idx="71">
                  <c:v>291.86769460333574</c:v>
                </c:pt>
                <c:pt idx="72">
                  <c:v>294.05620492414835</c:v>
                </c:pt>
                <c:pt idx="73">
                  <c:v>300.96990798308866</c:v>
                </c:pt>
                <c:pt idx="74">
                  <c:v>298.43322556577863</c:v>
                </c:pt>
                <c:pt idx="75">
                  <c:v>296.69236508331272</c:v>
                </c:pt>
                <c:pt idx="76">
                  <c:v>294.05620492414835</c:v>
                </c:pt>
                <c:pt idx="77">
                  <c:v>293.75777169858225</c:v>
                </c:pt>
                <c:pt idx="78">
                  <c:v>281.99452872419693</c:v>
                </c:pt>
                <c:pt idx="79">
                  <c:v>277.16985824421789</c:v>
                </c:pt>
                <c:pt idx="80">
                  <c:v>272.86744590897769</c:v>
                </c:pt>
                <c:pt idx="81">
                  <c:v>275.35438945535935</c:v>
                </c:pt>
                <c:pt idx="82">
                  <c:v>275.65282268092881</c:v>
                </c:pt>
                <c:pt idx="83">
                  <c:v>271.84779905496202</c:v>
                </c:pt>
                <c:pt idx="84">
                  <c:v>274.58343695597807</c:v>
                </c:pt>
                <c:pt idx="85">
                  <c:v>277.71698582442178</c:v>
                </c:pt>
                <c:pt idx="86">
                  <c:v>276.74707784133301</c:v>
                </c:pt>
                <c:pt idx="87">
                  <c:v>275.35438945535935</c:v>
                </c:pt>
                <c:pt idx="88">
                  <c:v>276.19995026112895</c:v>
                </c:pt>
                <c:pt idx="89">
                  <c:v>285.05346928624721</c:v>
                </c:pt>
              </c:numCache>
            </c:numRef>
          </c:val>
          <c:smooth val="0"/>
        </c:ser>
        <c:ser>
          <c:idx val="1"/>
          <c:order val="1"/>
          <c:tx>
            <c:strRef>
              <c:f>'201492345735145616176BM01017864'!$C$14</c:f>
              <c:strCache>
                <c:ptCount val="1"/>
                <c:pt idx="0">
                  <c:v>Ejerlejlighed</c:v>
                </c:pt>
              </c:strCache>
            </c:strRef>
          </c:tx>
          <c:spPr>
            <a:ln w="38100">
              <a:solidFill>
                <a:schemeClr val="tx1"/>
              </a:solidFill>
            </a:ln>
          </c:spPr>
          <c:marker>
            <c:symbol val="none"/>
          </c:marker>
          <c:dPt>
            <c:idx val="47"/>
            <c:marker>
              <c:symbol val="auto"/>
              <c:spPr>
                <a:solidFill>
                  <a:prstClr val="black"/>
                </a:solidFill>
              </c:spPr>
            </c:marker>
            <c:bubble3D val="0"/>
          </c:dPt>
          <c:dPt>
            <c:idx val="57"/>
            <c:marker>
              <c:symbol val="auto"/>
              <c:spPr>
                <a:solidFill>
                  <a:schemeClr val="tx1"/>
                </a:solidFill>
              </c:spPr>
            </c:marker>
            <c:bubble3D val="0"/>
          </c:dPt>
          <c:dLbls>
            <c:dLbl>
              <c:idx val="57"/>
              <c:showLegendKey val="0"/>
              <c:showVal val="1"/>
              <c:showCatName val="0"/>
              <c:showSerName val="0"/>
              <c:showPercent val="0"/>
              <c:showBubbleSize val="0"/>
              <c:extLst>
                <c:ext xmlns:c15="http://schemas.microsoft.com/office/drawing/2012/chart" uri="{CE6537A1-D6FC-4f65-9D91-7224C49458BB}"/>
              </c:extLst>
            </c:dLbl>
            <c:dLbl>
              <c:idx val="89"/>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'201492345735145616176BM01017864'!$D$12:$CO$12</c:f>
              <c:strCache>
                <c:ptCount val="90"/>
                <c:pt idx="0">
                  <c:v>1992K1</c:v>
                </c:pt>
                <c:pt idx="1">
                  <c:v>1992K2</c:v>
                </c:pt>
                <c:pt idx="2">
                  <c:v>1992K3</c:v>
                </c:pt>
                <c:pt idx="3">
                  <c:v>1992K4</c:v>
                </c:pt>
                <c:pt idx="4">
                  <c:v>1993K1</c:v>
                </c:pt>
                <c:pt idx="5">
                  <c:v>1993K2</c:v>
                </c:pt>
                <c:pt idx="6">
                  <c:v>1993K3</c:v>
                </c:pt>
                <c:pt idx="7">
                  <c:v>1993K4</c:v>
                </c:pt>
                <c:pt idx="8">
                  <c:v>1994K1</c:v>
                </c:pt>
                <c:pt idx="9">
                  <c:v>1994K2</c:v>
                </c:pt>
                <c:pt idx="10">
                  <c:v>1994K3</c:v>
                </c:pt>
                <c:pt idx="11">
                  <c:v>1994K4</c:v>
                </c:pt>
                <c:pt idx="12">
                  <c:v>1995K1</c:v>
                </c:pt>
                <c:pt idx="13">
                  <c:v>1995K2</c:v>
                </c:pt>
                <c:pt idx="14">
                  <c:v>1995K3</c:v>
                </c:pt>
                <c:pt idx="15">
                  <c:v>1995K4</c:v>
                </c:pt>
                <c:pt idx="16">
                  <c:v>1996K1</c:v>
                </c:pt>
                <c:pt idx="17">
                  <c:v>1996K2</c:v>
                </c:pt>
                <c:pt idx="18">
                  <c:v>1996K3</c:v>
                </c:pt>
                <c:pt idx="19">
                  <c:v>1996K4</c:v>
                </c:pt>
                <c:pt idx="20">
                  <c:v>1997K1</c:v>
                </c:pt>
                <c:pt idx="21">
                  <c:v>1997K2</c:v>
                </c:pt>
                <c:pt idx="22">
                  <c:v>1997K3</c:v>
                </c:pt>
                <c:pt idx="23">
                  <c:v>1997K4</c:v>
                </c:pt>
                <c:pt idx="24">
                  <c:v>1998K1</c:v>
                </c:pt>
                <c:pt idx="25">
                  <c:v>1998K2</c:v>
                </c:pt>
                <c:pt idx="26">
                  <c:v>1998K3</c:v>
                </c:pt>
                <c:pt idx="27">
                  <c:v>1998K4</c:v>
                </c:pt>
                <c:pt idx="28">
                  <c:v>1999K1</c:v>
                </c:pt>
                <c:pt idx="29">
                  <c:v>1999K2</c:v>
                </c:pt>
                <c:pt idx="30">
                  <c:v>1999K3</c:v>
                </c:pt>
                <c:pt idx="31">
                  <c:v>1999K4</c:v>
                </c:pt>
                <c:pt idx="32">
                  <c:v>2000K1</c:v>
                </c:pt>
                <c:pt idx="33">
                  <c:v>2000K2</c:v>
                </c:pt>
                <c:pt idx="34">
                  <c:v>2000K3</c:v>
                </c:pt>
                <c:pt idx="35">
                  <c:v>2000K4</c:v>
                </c:pt>
                <c:pt idx="36">
                  <c:v>2001K1</c:v>
                </c:pt>
                <c:pt idx="37">
                  <c:v>2001K2</c:v>
                </c:pt>
                <c:pt idx="38">
                  <c:v>2001K3</c:v>
                </c:pt>
                <c:pt idx="39">
                  <c:v>2001K4</c:v>
                </c:pt>
                <c:pt idx="40">
                  <c:v>2002K1</c:v>
                </c:pt>
                <c:pt idx="41">
                  <c:v>2002K2</c:v>
                </c:pt>
                <c:pt idx="42">
                  <c:v>2002K3</c:v>
                </c:pt>
                <c:pt idx="43">
                  <c:v>2002K4</c:v>
                </c:pt>
                <c:pt idx="44">
                  <c:v>2003K1</c:v>
                </c:pt>
                <c:pt idx="45">
                  <c:v>2003K2</c:v>
                </c:pt>
                <c:pt idx="46">
                  <c:v>2003K3</c:v>
                </c:pt>
                <c:pt idx="47">
                  <c:v>2003K4</c:v>
                </c:pt>
                <c:pt idx="48">
                  <c:v>2004K1</c:v>
                </c:pt>
                <c:pt idx="49">
                  <c:v>2004K2</c:v>
                </c:pt>
                <c:pt idx="50">
                  <c:v>2004K3</c:v>
                </c:pt>
                <c:pt idx="51">
                  <c:v>2004K4</c:v>
                </c:pt>
                <c:pt idx="52">
                  <c:v>2005K1</c:v>
                </c:pt>
                <c:pt idx="53">
                  <c:v>2005K2</c:v>
                </c:pt>
                <c:pt idx="54">
                  <c:v>2005K3</c:v>
                </c:pt>
                <c:pt idx="55">
                  <c:v>2005K4</c:v>
                </c:pt>
                <c:pt idx="56">
                  <c:v>2006K1</c:v>
                </c:pt>
                <c:pt idx="57">
                  <c:v>2006K2</c:v>
                </c:pt>
                <c:pt idx="58">
                  <c:v>2006K3</c:v>
                </c:pt>
                <c:pt idx="59">
                  <c:v>2006K4</c:v>
                </c:pt>
                <c:pt idx="60">
                  <c:v>2007K1</c:v>
                </c:pt>
                <c:pt idx="61">
                  <c:v>2007K2</c:v>
                </c:pt>
                <c:pt idx="62">
                  <c:v>2007K3</c:v>
                </c:pt>
                <c:pt idx="63">
                  <c:v>2007K4</c:v>
                </c:pt>
                <c:pt idx="64">
                  <c:v>2008K1</c:v>
                </c:pt>
                <c:pt idx="65">
                  <c:v>2008K2</c:v>
                </c:pt>
                <c:pt idx="66">
                  <c:v>2008K3</c:v>
                </c:pt>
                <c:pt idx="67">
                  <c:v>2008K4</c:v>
                </c:pt>
                <c:pt idx="68">
                  <c:v>2009K1</c:v>
                </c:pt>
                <c:pt idx="69">
                  <c:v>2009K2</c:v>
                </c:pt>
                <c:pt idx="70">
                  <c:v>2009K3</c:v>
                </c:pt>
                <c:pt idx="71">
                  <c:v>2009K4</c:v>
                </c:pt>
                <c:pt idx="72">
                  <c:v>2010K1</c:v>
                </c:pt>
                <c:pt idx="73">
                  <c:v>2010K2</c:v>
                </c:pt>
                <c:pt idx="74">
                  <c:v>2010K3</c:v>
                </c:pt>
                <c:pt idx="75">
                  <c:v>2010K4</c:v>
                </c:pt>
                <c:pt idx="76">
                  <c:v>2011K1</c:v>
                </c:pt>
                <c:pt idx="77">
                  <c:v>2011K2</c:v>
                </c:pt>
                <c:pt idx="78">
                  <c:v>2011K3</c:v>
                </c:pt>
                <c:pt idx="79">
                  <c:v>2011K4</c:v>
                </c:pt>
                <c:pt idx="80">
                  <c:v>2012K1</c:v>
                </c:pt>
                <c:pt idx="81">
                  <c:v>2012K2</c:v>
                </c:pt>
                <c:pt idx="82">
                  <c:v>2012K3</c:v>
                </c:pt>
                <c:pt idx="83">
                  <c:v>2012K4</c:v>
                </c:pt>
                <c:pt idx="84">
                  <c:v>2013K1</c:v>
                </c:pt>
                <c:pt idx="85">
                  <c:v>2013K2</c:v>
                </c:pt>
                <c:pt idx="86">
                  <c:v>2013K3</c:v>
                </c:pt>
                <c:pt idx="87">
                  <c:v>2013K4</c:v>
                </c:pt>
                <c:pt idx="88">
                  <c:v>2014K1</c:v>
                </c:pt>
                <c:pt idx="89">
                  <c:v>2014K2</c:v>
                </c:pt>
              </c:strCache>
            </c:strRef>
          </c:cat>
          <c:val>
            <c:numRef>
              <c:f>'201492345735145616176BM01017864'!$D$14:$CO$14</c:f>
              <c:numCache>
                <c:formatCode>0.0</c:formatCode>
                <c:ptCount val="90"/>
                <c:pt idx="0">
                  <c:v>100</c:v>
                </c:pt>
                <c:pt idx="1">
                  <c:v>100.51546391752578</c:v>
                </c:pt>
                <c:pt idx="2">
                  <c:v>98.573883161512029</c:v>
                </c:pt>
                <c:pt idx="3">
                  <c:v>93.522336769758724</c:v>
                </c:pt>
                <c:pt idx="4">
                  <c:v>91.134020618556619</c:v>
                </c:pt>
                <c:pt idx="5">
                  <c:v>93.676975945017176</c:v>
                </c:pt>
                <c:pt idx="6">
                  <c:v>99.673539518899844</c:v>
                </c:pt>
                <c:pt idx="7">
                  <c:v>96.374570446735348</c:v>
                </c:pt>
                <c:pt idx="8">
                  <c:v>99.243986254295535</c:v>
                </c:pt>
                <c:pt idx="9">
                  <c:v>99.381443298969074</c:v>
                </c:pt>
                <c:pt idx="10">
                  <c:v>98.762886597938149</c:v>
                </c:pt>
                <c:pt idx="11">
                  <c:v>97.457044673539514</c:v>
                </c:pt>
                <c:pt idx="12">
                  <c:v>97.302405498281658</c:v>
                </c:pt>
                <c:pt idx="13">
                  <c:v>100.24054982817913</c:v>
                </c:pt>
                <c:pt idx="14">
                  <c:v>103.64261168384922</c:v>
                </c:pt>
                <c:pt idx="15">
                  <c:v>104.24398625429556</c:v>
                </c:pt>
                <c:pt idx="16">
                  <c:v>106.37457044673538</c:v>
                </c:pt>
                <c:pt idx="17">
                  <c:v>113.5567010309274</c:v>
                </c:pt>
                <c:pt idx="18">
                  <c:v>113.76288659793811</c:v>
                </c:pt>
                <c:pt idx="19">
                  <c:v>113.93470790378007</c:v>
                </c:pt>
                <c:pt idx="20">
                  <c:v>118.67697594501719</c:v>
                </c:pt>
                <c:pt idx="21">
                  <c:v>124.34707903780068</c:v>
                </c:pt>
                <c:pt idx="22">
                  <c:v>128.24742268041237</c:v>
                </c:pt>
                <c:pt idx="23">
                  <c:v>131.40893470790462</c:v>
                </c:pt>
                <c:pt idx="24">
                  <c:v>136.70103092783506</c:v>
                </c:pt>
                <c:pt idx="25">
                  <c:v>143.24742268041237</c:v>
                </c:pt>
                <c:pt idx="26">
                  <c:v>148.23024054982818</c:v>
                </c:pt>
                <c:pt idx="27">
                  <c:v>150.73883161512026</c:v>
                </c:pt>
                <c:pt idx="28">
                  <c:v>159.12371134020617</c:v>
                </c:pt>
                <c:pt idx="29">
                  <c:v>166.30584192439858</c:v>
                </c:pt>
                <c:pt idx="30">
                  <c:v>170.99656357388315</c:v>
                </c:pt>
                <c:pt idx="31">
                  <c:v>171.09965635738831</c:v>
                </c:pt>
                <c:pt idx="32">
                  <c:v>175.32646048110001</c:v>
                </c:pt>
                <c:pt idx="33">
                  <c:v>183.05841924398737</c:v>
                </c:pt>
                <c:pt idx="34">
                  <c:v>188.0756013745696</c:v>
                </c:pt>
                <c:pt idx="35">
                  <c:v>189.20962199312584</c:v>
                </c:pt>
                <c:pt idx="36">
                  <c:v>197.98969072164829</c:v>
                </c:pt>
                <c:pt idx="37">
                  <c:v>204.48453608247576</c:v>
                </c:pt>
                <c:pt idx="38">
                  <c:v>214.03780068728608</c:v>
                </c:pt>
                <c:pt idx="39">
                  <c:v>211.09965635738831</c:v>
                </c:pt>
                <c:pt idx="40">
                  <c:v>215.20618556701018</c:v>
                </c:pt>
                <c:pt idx="41">
                  <c:v>224.69072164948454</c:v>
                </c:pt>
                <c:pt idx="42">
                  <c:v>226.68384879725085</c:v>
                </c:pt>
                <c:pt idx="43">
                  <c:v>225.17182130584192</c:v>
                </c:pt>
                <c:pt idx="44">
                  <c:v>231.80412371133997</c:v>
                </c:pt>
                <c:pt idx="45">
                  <c:v>236.28865979381359</c:v>
                </c:pt>
                <c:pt idx="46">
                  <c:v>241.40893470790462</c:v>
                </c:pt>
                <c:pt idx="47">
                  <c:v>243.5738831615102</c:v>
                </c:pt>
                <c:pt idx="48">
                  <c:v>252.74914089347078</c:v>
                </c:pt>
                <c:pt idx="49">
                  <c:v>263.98625429553169</c:v>
                </c:pt>
                <c:pt idx="50">
                  <c:v>275.32646048109899</c:v>
                </c:pt>
                <c:pt idx="51">
                  <c:v>281.61512027491409</c:v>
                </c:pt>
                <c:pt idx="52">
                  <c:v>297.31958762886825</c:v>
                </c:pt>
                <c:pt idx="53">
                  <c:v>319.41580756013724</c:v>
                </c:pt>
                <c:pt idx="54">
                  <c:v>345.39518900343671</c:v>
                </c:pt>
                <c:pt idx="55">
                  <c:v>365.44673539518863</c:v>
                </c:pt>
                <c:pt idx="56">
                  <c:v>389.24398625429529</c:v>
                </c:pt>
                <c:pt idx="57">
                  <c:v>412.19931271477657</c:v>
                </c:pt>
                <c:pt idx="58">
                  <c:v>409.75945017182232</c:v>
                </c:pt>
                <c:pt idx="59">
                  <c:v>393.9518900343665</c:v>
                </c:pt>
                <c:pt idx="60">
                  <c:v>384.38144329896909</c:v>
                </c:pt>
                <c:pt idx="61">
                  <c:v>382.80068728522338</c:v>
                </c:pt>
                <c:pt idx="62">
                  <c:v>377.83505154639164</c:v>
                </c:pt>
                <c:pt idx="63">
                  <c:v>361.58075601374571</c:v>
                </c:pt>
                <c:pt idx="64">
                  <c:v>354.5189003436426</c:v>
                </c:pt>
                <c:pt idx="65">
                  <c:v>349.89690721649265</c:v>
                </c:pt>
                <c:pt idx="66">
                  <c:v>335.85910652920961</c:v>
                </c:pt>
                <c:pt idx="67">
                  <c:v>310.876288659794</c:v>
                </c:pt>
                <c:pt idx="68">
                  <c:v>288.64261168385269</c:v>
                </c:pt>
                <c:pt idx="69">
                  <c:v>296.21993127147664</c:v>
                </c:pt>
                <c:pt idx="70">
                  <c:v>298.53951890034364</c:v>
                </c:pt>
                <c:pt idx="71">
                  <c:v>306.09965635738826</c:v>
                </c:pt>
                <c:pt idx="72">
                  <c:v>308.76288659793931</c:v>
                </c:pt>
                <c:pt idx="73">
                  <c:v>319.46735395188676</c:v>
                </c:pt>
                <c:pt idx="74">
                  <c:v>318.12714776632299</c:v>
                </c:pt>
                <c:pt idx="75">
                  <c:v>317.23367697594369</c:v>
                </c:pt>
                <c:pt idx="76">
                  <c:v>319.19243986254293</c:v>
                </c:pt>
                <c:pt idx="77">
                  <c:v>318.24742268041439</c:v>
                </c:pt>
                <c:pt idx="78">
                  <c:v>303.35051546391753</c:v>
                </c:pt>
                <c:pt idx="79">
                  <c:v>299.67353951889834</c:v>
                </c:pt>
                <c:pt idx="80">
                  <c:v>300.01718213058422</c:v>
                </c:pt>
                <c:pt idx="81">
                  <c:v>302.83505154639164</c:v>
                </c:pt>
                <c:pt idx="82">
                  <c:v>304.26116838487923</c:v>
                </c:pt>
                <c:pt idx="83">
                  <c:v>312.21649484536084</c:v>
                </c:pt>
                <c:pt idx="84">
                  <c:v>316.64948453608486</c:v>
                </c:pt>
                <c:pt idx="85">
                  <c:v>328.74570446735396</c:v>
                </c:pt>
                <c:pt idx="86">
                  <c:v>334.70790378006876</c:v>
                </c:pt>
                <c:pt idx="87">
                  <c:v>334.70790378006876</c:v>
                </c:pt>
                <c:pt idx="88">
                  <c:v>334.70790378006876</c:v>
                </c:pt>
                <c:pt idx="89">
                  <c:v>350.77319587628574</c:v>
                </c:pt>
              </c:numCache>
            </c:numRef>
          </c:val>
          <c:smooth val="0"/>
        </c:ser>
        <c:ser>
          <c:idx val="2"/>
          <c:order val="2"/>
          <c:tx>
            <c:strRef>
              <c:f>'201492345735145616176BM01017864'!$C$15</c:f>
              <c:strCache>
                <c:ptCount val="1"/>
                <c:pt idx="0">
                  <c:v>Fritidshus</c:v>
                </c:pt>
              </c:strCache>
            </c:strRef>
          </c:tx>
          <c:spPr>
            <a:ln w="25400">
              <a:solidFill>
                <a:schemeClr val="tx1"/>
              </a:solidFill>
              <a:prstDash val="sysDot"/>
            </a:ln>
          </c:spPr>
          <c:marker>
            <c:symbol val="none"/>
          </c:marker>
          <c:dPt>
            <c:idx val="47"/>
            <c:marker>
              <c:symbol val="auto"/>
              <c:spPr>
                <a:solidFill>
                  <a:prstClr val="black"/>
                </a:solidFill>
              </c:spPr>
            </c:marker>
            <c:bubble3D val="0"/>
          </c:dPt>
          <c:dPt>
            <c:idx val="66"/>
            <c:marker>
              <c:symbol val="auto"/>
              <c:spPr>
                <a:solidFill>
                  <a:prstClr val="black"/>
                </a:solidFill>
              </c:spPr>
            </c:marker>
            <c:bubble3D val="0"/>
          </c:dPt>
          <c:dLbls>
            <c:dLbl>
              <c:idx val="47"/>
              <c:showLegendKey val="0"/>
              <c:showVal val="1"/>
              <c:showCatName val="0"/>
              <c:showSerName val="0"/>
              <c:showPercent val="0"/>
              <c:showBubbleSize val="0"/>
              <c:extLst>
                <c:ext xmlns:c15="http://schemas.microsoft.com/office/drawing/2012/chart" uri="{CE6537A1-D6FC-4f65-9D91-7224C49458BB}"/>
              </c:extLst>
            </c:dLbl>
            <c:dLbl>
              <c:idx val="66"/>
              <c:showLegendKey val="0"/>
              <c:showVal val="1"/>
              <c:showCatName val="0"/>
              <c:showSerName val="0"/>
              <c:showPercent val="0"/>
              <c:showBubbleSize val="0"/>
              <c:extLst>
                <c:ext xmlns:c15="http://schemas.microsoft.com/office/drawing/2012/chart" uri="{CE6537A1-D6FC-4f65-9D91-7224C49458BB}"/>
              </c:extLst>
            </c:dLbl>
            <c:dLbl>
              <c:idx val="89"/>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'201492345735145616176BM01017864'!$D$12:$CO$12</c:f>
              <c:strCache>
                <c:ptCount val="90"/>
                <c:pt idx="0">
                  <c:v>1992K1</c:v>
                </c:pt>
                <c:pt idx="1">
                  <c:v>1992K2</c:v>
                </c:pt>
                <c:pt idx="2">
                  <c:v>1992K3</c:v>
                </c:pt>
                <c:pt idx="3">
                  <c:v>1992K4</c:v>
                </c:pt>
                <c:pt idx="4">
                  <c:v>1993K1</c:v>
                </c:pt>
                <c:pt idx="5">
                  <c:v>1993K2</c:v>
                </c:pt>
                <c:pt idx="6">
                  <c:v>1993K3</c:v>
                </c:pt>
                <c:pt idx="7">
                  <c:v>1993K4</c:v>
                </c:pt>
                <c:pt idx="8">
                  <c:v>1994K1</c:v>
                </c:pt>
                <c:pt idx="9">
                  <c:v>1994K2</c:v>
                </c:pt>
                <c:pt idx="10">
                  <c:v>1994K3</c:v>
                </c:pt>
                <c:pt idx="11">
                  <c:v>1994K4</c:v>
                </c:pt>
                <c:pt idx="12">
                  <c:v>1995K1</c:v>
                </c:pt>
                <c:pt idx="13">
                  <c:v>1995K2</c:v>
                </c:pt>
                <c:pt idx="14">
                  <c:v>1995K3</c:v>
                </c:pt>
                <c:pt idx="15">
                  <c:v>1995K4</c:v>
                </c:pt>
                <c:pt idx="16">
                  <c:v>1996K1</c:v>
                </c:pt>
                <c:pt idx="17">
                  <c:v>1996K2</c:v>
                </c:pt>
                <c:pt idx="18">
                  <c:v>1996K3</c:v>
                </c:pt>
                <c:pt idx="19">
                  <c:v>1996K4</c:v>
                </c:pt>
                <c:pt idx="20">
                  <c:v>1997K1</c:v>
                </c:pt>
                <c:pt idx="21">
                  <c:v>1997K2</c:v>
                </c:pt>
                <c:pt idx="22">
                  <c:v>1997K3</c:v>
                </c:pt>
                <c:pt idx="23">
                  <c:v>1997K4</c:v>
                </c:pt>
                <c:pt idx="24">
                  <c:v>1998K1</c:v>
                </c:pt>
                <c:pt idx="25">
                  <c:v>1998K2</c:v>
                </c:pt>
                <c:pt idx="26">
                  <c:v>1998K3</c:v>
                </c:pt>
                <c:pt idx="27">
                  <c:v>1998K4</c:v>
                </c:pt>
                <c:pt idx="28">
                  <c:v>1999K1</c:v>
                </c:pt>
                <c:pt idx="29">
                  <c:v>1999K2</c:v>
                </c:pt>
                <c:pt idx="30">
                  <c:v>1999K3</c:v>
                </c:pt>
                <c:pt idx="31">
                  <c:v>1999K4</c:v>
                </c:pt>
                <c:pt idx="32">
                  <c:v>2000K1</c:v>
                </c:pt>
                <c:pt idx="33">
                  <c:v>2000K2</c:v>
                </c:pt>
                <c:pt idx="34">
                  <c:v>2000K3</c:v>
                </c:pt>
                <c:pt idx="35">
                  <c:v>2000K4</c:v>
                </c:pt>
                <c:pt idx="36">
                  <c:v>2001K1</c:v>
                </c:pt>
                <c:pt idx="37">
                  <c:v>2001K2</c:v>
                </c:pt>
                <c:pt idx="38">
                  <c:v>2001K3</c:v>
                </c:pt>
                <c:pt idx="39">
                  <c:v>2001K4</c:v>
                </c:pt>
                <c:pt idx="40">
                  <c:v>2002K1</c:v>
                </c:pt>
                <c:pt idx="41">
                  <c:v>2002K2</c:v>
                </c:pt>
                <c:pt idx="42">
                  <c:v>2002K3</c:v>
                </c:pt>
                <c:pt idx="43">
                  <c:v>2002K4</c:v>
                </c:pt>
                <c:pt idx="44">
                  <c:v>2003K1</c:v>
                </c:pt>
                <c:pt idx="45">
                  <c:v>2003K2</c:v>
                </c:pt>
                <c:pt idx="46">
                  <c:v>2003K3</c:v>
                </c:pt>
                <c:pt idx="47">
                  <c:v>2003K4</c:v>
                </c:pt>
                <c:pt idx="48">
                  <c:v>2004K1</c:v>
                </c:pt>
                <c:pt idx="49">
                  <c:v>2004K2</c:v>
                </c:pt>
                <c:pt idx="50">
                  <c:v>2004K3</c:v>
                </c:pt>
                <c:pt idx="51">
                  <c:v>2004K4</c:v>
                </c:pt>
                <c:pt idx="52">
                  <c:v>2005K1</c:v>
                </c:pt>
                <c:pt idx="53">
                  <c:v>2005K2</c:v>
                </c:pt>
                <c:pt idx="54">
                  <c:v>2005K3</c:v>
                </c:pt>
                <c:pt idx="55">
                  <c:v>2005K4</c:v>
                </c:pt>
                <c:pt idx="56">
                  <c:v>2006K1</c:v>
                </c:pt>
                <c:pt idx="57">
                  <c:v>2006K2</c:v>
                </c:pt>
                <c:pt idx="58">
                  <c:v>2006K3</c:v>
                </c:pt>
                <c:pt idx="59">
                  <c:v>2006K4</c:v>
                </c:pt>
                <c:pt idx="60">
                  <c:v>2007K1</c:v>
                </c:pt>
                <c:pt idx="61">
                  <c:v>2007K2</c:v>
                </c:pt>
                <c:pt idx="62">
                  <c:v>2007K3</c:v>
                </c:pt>
                <c:pt idx="63">
                  <c:v>2007K4</c:v>
                </c:pt>
                <c:pt idx="64">
                  <c:v>2008K1</c:v>
                </c:pt>
                <c:pt idx="65">
                  <c:v>2008K2</c:v>
                </c:pt>
                <c:pt idx="66">
                  <c:v>2008K3</c:v>
                </c:pt>
                <c:pt idx="67">
                  <c:v>2008K4</c:v>
                </c:pt>
                <c:pt idx="68">
                  <c:v>2009K1</c:v>
                </c:pt>
                <c:pt idx="69">
                  <c:v>2009K2</c:v>
                </c:pt>
                <c:pt idx="70">
                  <c:v>2009K3</c:v>
                </c:pt>
                <c:pt idx="71">
                  <c:v>2009K4</c:v>
                </c:pt>
                <c:pt idx="72">
                  <c:v>2010K1</c:v>
                </c:pt>
                <c:pt idx="73">
                  <c:v>2010K2</c:v>
                </c:pt>
                <c:pt idx="74">
                  <c:v>2010K3</c:v>
                </c:pt>
                <c:pt idx="75">
                  <c:v>2010K4</c:v>
                </c:pt>
                <c:pt idx="76">
                  <c:v>2011K1</c:v>
                </c:pt>
                <c:pt idx="77">
                  <c:v>2011K2</c:v>
                </c:pt>
                <c:pt idx="78">
                  <c:v>2011K3</c:v>
                </c:pt>
                <c:pt idx="79">
                  <c:v>2011K4</c:v>
                </c:pt>
                <c:pt idx="80">
                  <c:v>2012K1</c:v>
                </c:pt>
                <c:pt idx="81">
                  <c:v>2012K2</c:v>
                </c:pt>
                <c:pt idx="82">
                  <c:v>2012K3</c:v>
                </c:pt>
                <c:pt idx="83">
                  <c:v>2012K4</c:v>
                </c:pt>
                <c:pt idx="84">
                  <c:v>2013K1</c:v>
                </c:pt>
                <c:pt idx="85">
                  <c:v>2013K2</c:v>
                </c:pt>
                <c:pt idx="86">
                  <c:v>2013K3</c:v>
                </c:pt>
                <c:pt idx="87">
                  <c:v>2013K4</c:v>
                </c:pt>
                <c:pt idx="88">
                  <c:v>2014K1</c:v>
                </c:pt>
                <c:pt idx="89">
                  <c:v>2014K2</c:v>
                </c:pt>
              </c:strCache>
            </c:strRef>
          </c:cat>
          <c:val>
            <c:numRef>
              <c:f>'201492345735145616176BM01017864'!$D$15:$CO$15</c:f>
              <c:numCache>
                <c:formatCode>0.0</c:formatCode>
                <c:ptCount val="90"/>
                <c:pt idx="0">
                  <c:v>100</c:v>
                </c:pt>
                <c:pt idx="1">
                  <c:v>100.29272686331907</c:v>
                </c:pt>
                <c:pt idx="2">
                  <c:v>95.699166854312097</c:v>
                </c:pt>
                <c:pt idx="3">
                  <c:v>99.504616077460028</c:v>
                </c:pt>
                <c:pt idx="4">
                  <c:v>99.774825489754562</c:v>
                </c:pt>
                <c:pt idx="5">
                  <c:v>101.19342490430112</c:v>
                </c:pt>
                <c:pt idx="6">
                  <c:v>99.887412744877295</c:v>
                </c:pt>
                <c:pt idx="7">
                  <c:v>105.26908353974329</c:v>
                </c:pt>
                <c:pt idx="8">
                  <c:v>106.57509569916685</c:v>
                </c:pt>
                <c:pt idx="9">
                  <c:v>106.21481648277422</c:v>
                </c:pt>
                <c:pt idx="10">
                  <c:v>102.92726863319072</c:v>
                </c:pt>
                <c:pt idx="11">
                  <c:v>105.65188020716045</c:v>
                </c:pt>
                <c:pt idx="12">
                  <c:v>106.25985138482324</c:v>
                </c:pt>
                <c:pt idx="13">
                  <c:v>110.22292276514312</c:v>
                </c:pt>
                <c:pt idx="14">
                  <c:v>106.62013060121593</c:v>
                </c:pt>
                <c:pt idx="15">
                  <c:v>112.6998423778424</c:v>
                </c:pt>
                <c:pt idx="16">
                  <c:v>118.3742400360275</c:v>
                </c:pt>
                <c:pt idx="17">
                  <c:v>119.52263003827935</c:v>
                </c:pt>
                <c:pt idx="18">
                  <c:v>114.79396532312542</c:v>
                </c:pt>
                <c:pt idx="19">
                  <c:v>119.86039180364745</c:v>
                </c:pt>
                <c:pt idx="20">
                  <c:v>127.69646476018914</c:v>
                </c:pt>
                <c:pt idx="21">
                  <c:v>127.44877279891915</c:v>
                </c:pt>
                <c:pt idx="22">
                  <c:v>128.19184868273035</c:v>
                </c:pt>
                <c:pt idx="23">
                  <c:v>131.90722810177888</c:v>
                </c:pt>
                <c:pt idx="24">
                  <c:v>139.74330105832018</c:v>
                </c:pt>
                <c:pt idx="25">
                  <c:v>139.15784733168331</c:v>
                </c:pt>
                <c:pt idx="26">
                  <c:v>141.63476694438106</c:v>
                </c:pt>
                <c:pt idx="27">
                  <c:v>150.25895068678219</c:v>
                </c:pt>
                <c:pt idx="28">
                  <c:v>153.50146363431574</c:v>
                </c:pt>
                <c:pt idx="29">
                  <c:v>158.32019815357017</c:v>
                </c:pt>
                <c:pt idx="30">
                  <c:v>158.54537266381359</c:v>
                </c:pt>
                <c:pt idx="31">
                  <c:v>154.01936500788025</c:v>
                </c:pt>
                <c:pt idx="32">
                  <c:v>163.81445620355692</c:v>
                </c:pt>
                <c:pt idx="33">
                  <c:v>171.20018013960734</c:v>
                </c:pt>
                <c:pt idx="34">
                  <c:v>171.65052916009921</c:v>
                </c:pt>
                <c:pt idx="35">
                  <c:v>175.50101328529621</c:v>
                </c:pt>
                <c:pt idx="36">
                  <c:v>179.64422427381078</c:v>
                </c:pt>
                <c:pt idx="37">
                  <c:v>187.00743075883821</c:v>
                </c:pt>
                <c:pt idx="38">
                  <c:v>186.06169781580726</c:v>
                </c:pt>
                <c:pt idx="39">
                  <c:v>186.8498086016663</c:v>
                </c:pt>
                <c:pt idx="40">
                  <c:v>194.75343391128123</c:v>
                </c:pt>
                <c:pt idx="41">
                  <c:v>202.3868498086035</c:v>
                </c:pt>
                <c:pt idx="42">
                  <c:v>209.16460256698932</c:v>
                </c:pt>
                <c:pt idx="43">
                  <c:v>209.95271335284843</c:v>
                </c:pt>
                <c:pt idx="44">
                  <c:v>216.19004728664714</c:v>
                </c:pt>
                <c:pt idx="45">
                  <c:v>226.68317946408465</c:v>
                </c:pt>
                <c:pt idx="46">
                  <c:v>234.29407791038054</c:v>
                </c:pt>
                <c:pt idx="47">
                  <c:v>238.30218419274937</c:v>
                </c:pt>
                <c:pt idx="48">
                  <c:v>250.64174735420033</c:v>
                </c:pt>
                <c:pt idx="49">
                  <c:v>268.90340013510473</c:v>
                </c:pt>
                <c:pt idx="50">
                  <c:v>284.66561585228345</c:v>
                </c:pt>
                <c:pt idx="51">
                  <c:v>290.20490880432402</c:v>
                </c:pt>
                <c:pt idx="52">
                  <c:v>308.46656158522853</c:v>
                </c:pt>
                <c:pt idx="53">
                  <c:v>327.04345868047733</c:v>
                </c:pt>
                <c:pt idx="54">
                  <c:v>350.19139833370872</c:v>
                </c:pt>
                <c:pt idx="55">
                  <c:v>363.34158973204234</c:v>
                </c:pt>
                <c:pt idx="56">
                  <c:v>365.1655032650304</c:v>
                </c:pt>
                <c:pt idx="57">
                  <c:v>390.31749605944702</c:v>
                </c:pt>
                <c:pt idx="58">
                  <c:v>398.31119117315922</c:v>
                </c:pt>
                <c:pt idx="59">
                  <c:v>401.50866921864429</c:v>
                </c:pt>
                <c:pt idx="60">
                  <c:v>399.57216843053362</c:v>
                </c:pt>
                <c:pt idx="61">
                  <c:v>417.38347219094902</c:v>
                </c:pt>
                <c:pt idx="62">
                  <c:v>411.10110335510024</c:v>
                </c:pt>
                <c:pt idx="63">
                  <c:v>412.87998198603918</c:v>
                </c:pt>
                <c:pt idx="64">
                  <c:v>406.25985138482565</c:v>
                </c:pt>
                <c:pt idx="65">
                  <c:v>411.84417923891016</c:v>
                </c:pt>
                <c:pt idx="66">
                  <c:v>413.8482323800946</c:v>
                </c:pt>
                <c:pt idx="67">
                  <c:v>365.72843954064149</c:v>
                </c:pt>
                <c:pt idx="68">
                  <c:v>333.79869398784029</c:v>
                </c:pt>
                <c:pt idx="69">
                  <c:v>354.10943481197927</c:v>
                </c:pt>
                <c:pt idx="70">
                  <c:v>356.96915109209624</c:v>
                </c:pt>
                <c:pt idx="71">
                  <c:v>360.95473992344068</c:v>
                </c:pt>
                <c:pt idx="72">
                  <c:v>358.88313442918025</c:v>
                </c:pt>
                <c:pt idx="73">
                  <c:v>363.94956090970538</c:v>
                </c:pt>
                <c:pt idx="74">
                  <c:v>356.33866246340915</c:v>
                </c:pt>
                <c:pt idx="75">
                  <c:v>357.41950011258729</c:v>
                </c:pt>
                <c:pt idx="76">
                  <c:v>344.26930871425355</c:v>
                </c:pt>
                <c:pt idx="77">
                  <c:v>343.68385498761529</c:v>
                </c:pt>
                <c:pt idx="78">
                  <c:v>334.18149065525779</c:v>
                </c:pt>
                <c:pt idx="79">
                  <c:v>329.90317496059083</c:v>
                </c:pt>
                <c:pt idx="80">
                  <c:v>312.97005179013729</c:v>
                </c:pt>
                <c:pt idx="81">
                  <c:v>322.60752082864235</c:v>
                </c:pt>
                <c:pt idx="82">
                  <c:v>316.07746003152442</c:v>
                </c:pt>
                <c:pt idx="83">
                  <c:v>305.42670569691393</c:v>
                </c:pt>
                <c:pt idx="84">
                  <c:v>312.72235982886724</c:v>
                </c:pt>
                <c:pt idx="85">
                  <c:v>317.74375140734065</c:v>
                </c:pt>
                <c:pt idx="86">
                  <c:v>311.50641747354194</c:v>
                </c:pt>
                <c:pt idx="87">
                  <c:v>311.19117315919829</c:v>
                </c:pt>
                <c:pt idx="88">
                  <c:v>301.53118666966895</c:v>
                </c:pt>
                <c:pt idx="89">
                  <c:v>309.32222472416208</c:v>
                </c:pt>
              </c:numCache>
            </c:numRef>
          </c:val>
          <c:smooth val="0"/>
        </c:ser>
        <c:dLbls>
          <c:showLegendKey val="0"/>
          <c:showVal val="0"/>
          <c:showCatName val="0"/>
          <c:showSerName val="0"/>
          <c:showPercent val="0"/>
          <c:showBubbleSize val="0"/>
        </c:dLbls>
        <c:smooth val="0"/>
        <c:axId val="312215088"/>
        <c:axId val="256406720"/>
      </c:lineChart>
      <c:catAx>
        <c:axId val="312215088"/>
        <c:scaling>
          <c:orientation val="minMax"/>
        </c:scaling>
        <c:delete val="0"/>
        <c:axPos val="b"/>
        <c:numFmt formatCode="General" sourceLinked="0"/>
        <c:majorTickMark val="none"/>
        <c:minorTickMark val="none"/>
        <c:tickLblPos val="nextTo"/>
        <c:txPr>
          <a:bodyPr/>
          <a:lstStyle/>
          <a:p>
            <a:pPr>
              <a:defRPr sz="700" b="1">
                <a:latin typeface="Arial Narrow" pitchFamily="34" charset="0"/>
              </a:defRPr>
            </a:pPr>
            <a:endParaRPr lang="en-US"/>
          </a:p>
        </c:txPr>
        <c:crossAx val="256406720"/>
        <c:crosses val="autoZero"/>
        <c:auto val="1"/>
        <c:lblAlgn val="ctr"/>
        <c:lblOffset val="100"/>
        <c:noMultiLvlLbl val="0"/>
      </c:catAx>
      <c:valAx>
        <c:axId val="256406720"/>
        <c:scaling>
          <c:orientation val="minMax"/>
          <c:min val="100"/>
        </c:scaling>
        <c:delete val="0"/>
        <c:axPos val="l"/>
        <c:majorGridlines/>
        <c:numFmt formatCode="0.0" sourceLinked="1"/>
        <c:majorTickMark val="none"/>
        <c:minorTickMark val="none"/>
        <c:tickLblPos val="nextTo"/>
        <c:spPr>
          <a:ln w="9525">
            <a:noFill/>
          </a:ln>
        </c:spPr>
        <c:txPr>
          <a:bodyPr/>
          <a:lstStyle/>
          <a:p>
            <a:pPr>
              <a:defRPr sz="1400" b="0"/>
            </a:pPr>
            <a:endParaRPr lang="en-US"/>
          </a:p>
        </c:txPr>
        <c:crossAx val="3122150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Narrow" pitchFamily="34" charset="0"/>
              </a:defRPr>
            </a:pPr>
            <a:r>
              <a:rPr lang="en-US" sz="1200" dirty="0">
                <a:latin typeface="Arial Narrow" pitchFamily="34" charset="0"/>
              </a:rPr>
              <a:t>Declining</a:t>
            </a:r>
            <a:r>
              <a:rPr lang="en-US" sz="1200" baseline="0" dirty="0">
                <a:latin typeface="Arial Narrow" pitchFamily="34" charset="0"/>
              </a:rPr>
              <a:t> support for neoliberal welfare </a:t>
            </a:r>
            <a:r>
              <a:rPr lang="en-US" sz="1200" baseline="0" dirty="0" smtClean="0">
                <a:latin typeface="Arial Narrow" pitchFamily="34" charset="0"/>
              </a:rPr>
              <a:t>reforms, 2011-15</a:t>
            </a:r>
            <a:endParaRPr lang="en-US" sz="1200" dirty="0">
              <a:latin typeface="Arial Narrow" pitchFamily="34" charset="0"/>
            </a:endParaRPr>
          </a:p>
        </c:rich>
      </c:tx>
      <c:overlay val="0"/>
    </c:title>
    <c:autoTitleDeleted val="0"/>
    <c:plotArea>
      <c:layout/>
      <c:lineChart>
        <c:grouping val="standard"/>
        <c:varyColors val="0"/>
        <c:ser>
          <c:idx val="3"/>
          <c:order val="0"/>
          <c:tx>
            <c:strRef>
              <c:f>'[2015-06-04 Risbjergs Snit ENGLISH.EDITED.2011-2015.xlsx]Ark1'!$T$3</c:f>
              <c:strCache>
                <c:ptCount val="1"/>
                <c:pt idx="0">
                  <c:v>reform parties</c:v>
                </c:pt>
              </c:strCache>
            </c:strRef>
          </c:tx>
          <c:spPr>
            <a:ln w="38100">
              <a:solidFill>
                <a:srgbClr val="0070C0"/>
              </a:solidFill>
            </a:ln>
          </c:spPr>
          <c:marker>
            <c:symbol val="none"/>
          </c:marker>
          <c:dPt>
            <c:idx val="0"/>
            <c:marker>
              <c:symbol val="circle"/>
              <c:size val="7"/>
              <c:spPr>
                <a:solidFill>
                  <a:srgbClr val="0070C0"/>
                </a:solidFill>
              </c:spPr>
            </c:marker>
            <c:bubble3D val="0"/>
          </c:dPt>
          <c:dPt>
            <c:idx val="7"/>
            <c:marker>
              <c:symbol val="circle"/>
              <c:size val="7"/>
              <c:spPr>
                <a:solidFill>
                  <a:srgbClr val="0070C0"/>
                </a:solidFill>
              </c:spPr>
            </c:marker>
            <c:bubble3D val="0"/>
          </c:dPt>
          <c:dLbls>
            <c:dLbl>
              <c:idx val="0"/>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4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'[2015-06-04 Risbjergs Snit ENGLISH.EDITED.2011-2015.xlsx]Ark1'!$P$4:$P$47</c:f>
              <c:strCache>
                <c:ptCount val="44"/>
                <c:pt idx="0">
                  <c:v>2011 ELECTION</c:v>
                </c:pt>
                <c:pt idx="1">
                  <c:v>Oct.2011</c:v>
                </c:pt>
                <c:pt idx="2">
                  <c:v>Nov.2011</c:v>
                </c:pt>
                <c:pt idx="3">
                  <c:v>Dec.2011</c:v>
                </c:pt>
                <c:pt idx="4">
                  <c:v>Jan.2012</c:v>
                </c:pt>
                <c:pt idx="5">
                  <c:v>Feb.2012</c:v>
                </c:pt>
                <c:pt idx="6">
                  <c:v>Mar.2012</c:v>
                </c:pt>
                <c:pt idx="7">
                  <c:v>Apr.2012</c:v>
                </c:pt>
                <c:pt idx="8">
                  <c:v>May 2012</c:v>
                </c:pt>
                <c:pt idx="9">
                  <c:v>June 2012</c:v>
                </c:pt>
                <c:pt idx="10">
                  <c:v>Aug.2012</c:v>
                </c:pt>
                <c:pt idx="11">
                  <c:v>Sep.2012</c:v>
                </c:pt>
                <c:pt idx="12">
                  <c:v>Oct.2012</c:v>
                </c:pt>
                <c:pt idx="13">
                  <c:v>Nov.2012</c:v>
                </c:pt>
                <c:pt idx="14">
                  <c:v>Dec.2012</c:v>
                </c:pt>
                <c:pt idx="15">
                  <c:v>Jan.2013</c:v>
                </c:pt>
                <c:pt idx="16">
                  <c:v>Feb.2013</c:v>
                </c:pt>
                <c:pt idx="17">
                  <c:v>Mar.2013</c:v>
                </c:pt>
                <c:pt idx="18">
                  <c:v>Apr.2013</c:v>
                </c:pt>
                <c:pt idx="19">
                  <c:v>May 2013</c:v>
                </c:pt>
                <c:pt idx="20">
                  <c:v>June 2013</c:v>
                </c:pt>
                <c:pt idx="21">
                  <c:v>Aug.2013</c:v>
                </c:pt>
                <c:pt idx="22">
                  <c:v>Sep.2013</c:v>
                </c:pt>
                <c:pt idx="23">
                  <c:v>Oct.2013</c:v>
                </c:pt>
                <c:pt idx="24">
                  <c:v>Nov.2013</c:v>
                </c:pt>
                <c:pt idx="25">
                  <c:v>Dec.2013</c:v>
                </c:pt>
                <c:pt idx="26">
                  <c:v>Jan.2014</c:v>
                </c:pt>
                <c:pt idx="27">
                  <c:v>Feb.2014</c:v>
                </c:pt>
                <c:pt idx="28">
                  <c:v>Mar.2014</c:v>
                </c:pt>
                <c:pt idx="29">
                  <c:v>Apr.2014</c:v>
                </c:pt>
                <c:pt idx="30">
                  <c:v>May 2014</c:v>
                </c:pt>
                <c:pt idx="31">
                  <c:v>June 2014</c:v>
                </c:pt>
                <c:pt idx="32">
                  <c:v>July 2014</c:v>
                </c:pt>
                <c:pt idx="33">
                  <c:v>Aug.2014</c:v>
                </c:pt>
                <c:pt idx="34">
                  <c:v>Sep.2014</c:v>
                </c:pt>
                <c:pt idx="35">
                  <c:v>Oct.2014</c:v>
                </c:pt>
                <c:pt idx="36">
                  <c:v>Nov.2014</c:v>
                </c:pt>
                <c:pt idx="37">
                  <c:v>Dec.2014</c:v>
                </c:pt>
                <c:pt idx="38">
                  <c:v>Jan.2015</c:v>
                </c:pt>
                <c:pt idx="39">
                  <c:v>Feb.2015</c:v>
                </c:pt>
                <c:pt idx="40">
                  <c:v>Mar.2015</c:v>
                </c:pt>
                <c:pt idx="41">
                  <c:v>Apr.2015</c:v>
                </c:pt>
                <c:pt idx="42">
                  <c:v>May 2015</c:v>
                </c:pt>
                <c:pt idx="43">
                  <c:v>2015 ELECTION</c:v>
                </c:pt>
              </c:strCache>
            </c:strRef>
          </c:cat>
          <c:val>
            <c:numRef>
              <c:f>'[2015-06-04 Risbjergs Snit ENGLISH.EDITED.2011-2015.xlsx]Ark1'!$T$4:$T$47</c:f>
              <c:numCache>
                <c:formatCode>0.0</c:formatCode>
                <c:ptCount val="44"/>
                <c:pt idx="0">
                  <c:v>46.1</c:v>
                </c:pt>
                <c:pt idx="1">
                  <c:v>48.900000000000006</c:v>
                </c:pt>
                <c:pt idx="2">
                  <c:v>50.4</c:v>
                </c:pt>
                <c:pt idx="3">
                  <c:v>50.7</c:v>
                </c:pt>
                <c:pt idx="4">
                  <c:v>50.8</c:v>
                </c:pt>
                <c:pt idx="5">
                  <c:v>51.3</c:v>
                </c:pt>
                <c:pt idx="6">
                  <c:v>50.800000000000004</c:v>
                </c:pt>
                <c:pt idx="7">
                  <c:v>52.1</c:v>
                </c:pt>
                <c:pt idx="8">
                  <c:v>50.500000000000007</c:v>
                </c:pt>
                <c:pt idx="9">
                  <c:v>51.800000000000004</c:v>
                </c:pt>
                <c:pt idx="10">
                  <c:v>51.2</c:v>
                </c:pt>
                <c:pt idx="11">
                  <c:v>50</c:v>
                </c:pt>
                <c:pt idx="12">
                  <c:v>49.3</c:v>
                </c:pt>
                <c:pt idx="13">
                  <c:v>50.100000000000009</c:v>
                </c:pt>
                <c:pt idx="14">
                  <c:v>48.9</c:v>
                </c:pt>
                <c:pt idx="15">
                  <c:v>49.1</c:v>
                </c:pt>
                <c:pt idx="16">
                  <c:v>49</c:v>
                </c:pt>
                <c:pt idx="17">
                  <c:v>48.9</c:v>
                </c:pt>
                <c:pt idx="18">
                  <c:v>49.400000000000006</c:v>
                </c:pt>
                <c:pt idx="19">
                  <c:v>48.900000000000006</c:v>
                </c:pt>
                <c:pt idx="20">
                  <c:v>48.20000000000001</c:v>
                </c:pt>
                <c:pt idx="21">
                  <c:v>46.7</c:v>
                </c:pt>
                <c:pt idx="22">
                  <c:v>45.9</c:v>
                </c:pt>
                <c:pt idx="23">
                  <c:v>43.70000000000001</c:v>
                </c:pt>
                <c:pt idx="24">
                  <c:v>43.2</c:v>
                </c:pt>
                <c:pt idx="25">
                  <c:v>44.800000000000004</c:v>
                </c:pt>
                <c:pt idx="26">
                  <c:v>44.4</c:v>
                </c:pt>
                <c:pt idx="27">
                  <c:v>45.400000000000006</c:v>
                </c:pt>
                <c:pt idx="28">
                  <c:v>44.600000000000009</c:v>
                </c:pt>
                <c:pt idx="29">
                  <c:v>44.4</c:v>
                </c:pt>
                <c:pt idx="30">
                  <c:v>42.800000000000004</c:v>
                </c:pt>
                <c:pt idx="31">
                  <c:v>40.300000000000004</c:v>
                </c:pt>
                <c:pt idx="32">
                  <c:v>40.9</c:v>
                </c:pt>
                <c:pt idx="33">
                  <c:v>42.2</c:v>
                </c:pt>
                <c:pt idx="34">
                  <c:v>43.300000000000004</c:v>
                </c:pt>
                <c:pt idx="35">
                  <c:v>42.5</c:v>
                </c:pt>
                <c:pt idx="36">
                  <c:v>42.400000000000006</c:v>
                </c:pt>
                <c:pt idx="37">
                  <c:v>41.400000000000006</c:v>
                </c:pt>
                <c:pt idx="38">
                  <c:v>39.5</c:v>
                </c:pt>
                <c:pt idx="39">
                  <c:v>40.100000000000009</c:v>
                </c:pt>
                <c:pt idx="40">
                  <c:v>39.800000000000004</c:v>
                </c:pt>
                <c:pt idx="41">
                  <c:v>38.800000000000004</c:v>
                </c:pt>
                <c:pt idx="42">
                  <c:v>39</c:v>
                </c:pt>
                <c:pt idx="43">
                  <c:v>34.933</c:v>
                </c:pt>
              </c:numCache>
            </c:numRef>
          </c:val>
          <c:smooth val="0"/>
        </c:ser>
        <c:ser>
          <c:idx val="4"/>
          <c:order val="1"/>
          <c:tx>
            <c:strRef>
              <c:f>'[2015-06-04 Risbjergs Snit ENGLISH.EDITED.2011-2015.xlsx]Ark1'!$U$3</c:f>
              <c:strCache>
                <c:ptCount val="1"/>
                <c:pt idx="0">
                  <c:v>anti reform parties</c:v>
                </c:pt>
              </c:strCache>
            </c:strRef>
          </c:tx>
          <c:spPr>
            <a:ln w="38100">
              <a:solidFill>
                <a:srgbClr val="FF0000"/>
              </a:solidFill>
            </a:ln>
          </c:spPr>
          <c:marker>
            <c:symbol val="none"/>
          </c:marker>
          <c:dLbls>
            <c:dLbl>
              <c:idx val="0"/>
              <c:showLegendKey val="0"/>
              <c:showVal val="1"/>
              <c:showCatName val="0"/>
              <c:showSerName val="0"/>
              <c:showPercent val="0"/>
              <c:showBubbleSize val="0"/>
              <c:extLst>
                <c:ext xmlns:c15="http://schemas.microsoft.com/office/drawing/2012/chart" uri="{CE6537A1-D6FC-4f65-9D91-7224C49458BB}"/>
              </c:extLst>
            </c:dLbl>
            <c:dLbl>
              <c:idx val="4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'[2015-06-04 Risbjergs Snit ENGLISH.EDITED.2011-2015.xlsx]Ark1'!$P$4:$P$47</c:f>
              <c:strCache>
                <c:ptCount val="44"/>
                <c:pt idx="0">
                  <c:v>2011 ELECTION</c:v>
                </c:pt>
                <c:pt idx="1">
                  <c:v>Oct.2011</c:v>
                </c:pt>
                <c:pt idx="2">
                  <c:v>Nov.2011</c:v>
                </c:pt>
                <c:pt idx="3">
                  <c:v>Dec.2011</c:v>
                </c:pt>
                <c:pt idx="4">
                  <c:v>Jan.2012</c:v>
                </c:pt>
                <c:pt idx="5">
                  <c:v>Feb.2012</c:v>
                </c:pt>
                <c:pt idx="6">
                  <c:v>Mar.2012</c:v>
                </c:pt>
                <c:pt idx="7">
                  <c:v>Apr.2012</c:v>
                </c:pt>
                <c:pt idx="8">
                  <c:v>May 2012</c:v>
                </c:pt>
                <c:pt idx="9">
                  <c:v>June 2012</c:v>
                </c:pt>
                <c:pt idx="10">
                  <c:v>Aug.2012</c:v>
                </c:pt>
                <c:pt idx="11">
                  <c:v>Sep.2012</c:v>
                </c:pt>
                <c:pt idx="12">
                  <c:v>Oct.2012</c:v>
                </c:pt>
                <c:pt idx="13">
                  <c:v>Nov.2012</c:v>
                </c:pt>
                <c:pt idx="14">
                  <c:v>Dec.2012</c:v>
                </c:pt>
                <c:pt idx="15">
                  <c:v>Jan.2013</c:v>
                </c:pt>
                <c:pt idx="16">
                  <c:v>Feb.2013</c:v>
                </c:pt>
                <c:pt idx="17">
                  <c:v>Mar.2013</c:v>
                </c:pt>
                <c:pt idx="18">
                  <c:v>Apr.2013</c:v>
                </c:pt>
                <c:pt idx="19">
                  <c:v>May 2013</c:v>
                </c:pt>
                <c:pt idx="20">
                  <c:v>June 2013</c:v>
                </c:pt>
                <c:pt idx="21">
                  <c:v>Aug.2013</c:v>
                </c:pt>
                <c:pt idx="22">
                  <c:v>Sep.2013</c:v>
                </c:pt>
                <c:pt idx="23">
                  <c:v>Oct.2013</c:v>
                </c:pt>
                <c:pt idx="24">
                  <c:v>Nov.2013</c:v>
                </c:pt>
                <c:pt idx="25">
                  <c:v>Dec.2013</c:v>
                </c:pt>
                <c:pt idx="26">
                  <c:v>Jan.2014</c:v>
                </c:pt>
                <c:pt idx="27">
                  <c:v>Feb.2014</c:v>
                </c:pt>
                <c:pt idx="28">
                  <c:v>Mar.2014</c:v>
                </c:pt>
                <c:pt idx="29">
                  <c:v>Apr.2014</c:v>
                </c:pt>
                <c:pt idx="30">
                  <c:v>May 2014</c:v>
                </c:pt>
                <c:pt idx="31">
                  <c:v>June 2014</c:v>
                </c:pt>
                <c:pt idx="32">
                  <c:v>July 2014</c:v>
                </c:pt>
                <c:pt idx="33">
                  <c:v>Aug.2014</c:v>
                </c:pt>
                <c:pt idx="34">
                  <c:v>Sep.2014</c:v>
                </c:pt>
                <c:pt idx="35">
                  <c:v>Oct.2014</c:v>
                </c:pt>
                <c:pt idx="36">
                  <c:v>Nov.2014</c:v>
                </c:pt>
                <c:pt idx="37">
                  <c:v>Dec.2014</c:v>
                </c:pt>
                <c:pt idx="38">
                  <c:v>Jan.2015</c:v>
                </c:pt>
                <c:pt idx="39">
                  <c:v>Feb.2015</c:v>
                </c:pt>
                <c:pt idx="40">
                  <c:v>Mar.2015</c:v>
                </c:pt>
                <c:pt idx="41">
                  <c:v>Apr.2015</c:v>
                </c:pt>
                <c:pt idx="42">
                  <c:v>May 2015</c:v>
                </c:pt>
                <c:pt idx="43">
                  <c:v>2015 ELECTION</c:v>
                </c:pt>
              </c:strCache>
            </c:strRef>
          </c:cat>
          <c:val>
            <c:numRef>
              <c:f>'[2015-06-04 Risbjergs Snit ENGLISH.EDITED.2011-2015.xlsx]Ark1'!$U$4:$U$47</c:f>
              <c:numCache>
                <c:formatCode>0.0</c:formatCode>
                <c:ptCount val="44"/>
                <c:pt idx="0">
                  <c:v>53</c:v>
                </c:pt>
                <c:pt idx="1">
                  <c:v>50.3</c:v>
                </c:pt>
                <c:pt idx="2">
                  <c:v>49.000000000000007</c:v>
                </c:pt>
                <c:pt idx="3">
                  <c:v>48.6</c:v>
                </c:pt>
                <c:pt idx="4">
                  <c:v>48.6</c:v>
                </c:pt>
                <c:pt idx="5">
                  <c:v>48.400000000000006</c:v>
                </c:pt>
                <c:pt idx="6">
                  <c:v>48.6</c:v>
                </c:pt>
                <c:pt idx="7">
                  <c:v>47.1</c:v>
                </c:pt>
                <c:pt idx="8">
                  <c:v>48.7</c:v>
                </c:pt>
                <c:pt idx="9">
                  <c:v>47.400000000000006</c:v>
                </c:pt>
                <c:pt idx="10">
                  <c:v>48</c:v>
                </c:pt>
                <c:pt idx="11">
                  <c:v>49.3</c:v>
                </c:pt>
                <c:pt idx="12">
                  <c:v>50</c:v>
                </c:pt>
                <c:pt idx="13">
                  <c:v>49.1</c:v>
                </c:pt>
                <c:pt idx="14">
                  <c:v>50.4</c:v>
                </c:pt>
                <c:pt idx="15">
                  <c:v>50.2</c:v>
                </c:pt>
                <c:pt idx="16">
                  <c:v>50.4</c:v>
                </c:pt>
                <c:pt idx="17">
                  <c:v>50.4</c:v>
                </c:pt>
                <c:pt idx="18">
                  <c:v>49.70000000000001</c:v>
                </c:pt>
                <c:pt idx="19">
                  <c:v>50.3</c:v>
                </c:pt>
                <c:pt idx="20">
                  <c:v>51.100000000000009</c:v>
                </c:pt>
                <c:pt idx="21">
                  <c:v>52.7</c:v>
                </c:pt>
                <c:pt idx="22">
                  <c:v>53.5</c:v>
                </c:pt>
                <c:pt idx="23">
                  <c:v>55.5</c:v>
                </c:pt>
                <c:pt idx="24">
                  <c:v>56.1</c:v>
                </c:pt>
                <c:pt idx="25">
                  <c:v>54.300000000000004</c:v>
                </c:pt>
                <c:pt idx="26">
                  <c:v>54.800000000000004</c:v>
                </c:pt>
                <c:pt idx="27">
                  <c:v>53.9</c:v>
                </c:pt>
                <c:pt idx="28">
                  <c:v>54.6</c:v>
                </c:pt>
                <c:pt idx="29">
                  <c:v>55</c:v>
                </c:pt>
                <c:pt idx="30">
                  <c:v>56.5</c:v>
                </c:pt>
                <c:pt idx="31">
                  <c:v>59.1</c:v>
                </c:pt>
                <c:pt idx="32">
                  <c:v>58.20000000000001</c:v>
                </c:pt>
                <c:pt idx="33">
                  <c:v>56.800000000000004</c:v>
                </c:pt>
                <c:pt idx="34">
                  <c:v>56.1</c:v>
                </c:pt>
                <c:pt idx="35">
                  <c:v>56.7</c:v>
                </c:pt>
                <c:pt idx="36">
                  <c:v>56.900000000000006</c:v>
                </c:pt>
                <c:pt idx="37">
                  <c:v>57.8</c:v>
                </c:pt>
                <c:pt idx="38">
                  <c:v>59.3</c:v>
                </c:pt>
                <c:pt idx="39">
                  <c:v>58.20000000000001</c:v>
                </c:pt>
                <c:pt idx="40">
                  <c:v>59.20000000000001</c:v>
                </c:pt>
                <c:pt idx="41">
                  <c:v>60.2</c:v>
                </c:pt>
                <c:pt idx="42">
                  <c:v>59.9</c:v>
                </c:pt>
                <c:pt idx="43">
                  <c:v>64.150999999999982</c:v>
                </c:pt>
              </c:numCache>
            </c:numRef>
          </c:val>
          <c:smooth val="0"/>
        </c:ser>
        <c:dLbls>
          <c:showLegendKey val="0"/>
          <c:showVal val="0"/>
          <c:showCatName val="0"/>
          <c:showSerName val="0"/>
          <c:showPercent val="0"/>
          <c:showBubbleSize val="0"/>
        </c:dLbls>
        <c:smooth val="0"/>
        <c:axId val="389287024"/>
        <c:axId val="254504600"/>
      </c:lineChart>
      <c:catAx>
        <c:axId val="389287024"/>
        <c:scaling>
          <c:orientation val="minMax"/>
        </c:scaling>
        <c:delete val="0"/>
        <c:axPos val="b"/>
        <c:numFmt formatCode="General" sourceLinked="0"/>
        <c:majorTickMark val="none"/>
        <c:minorTickMark val="none"/>
        <c:tickLblPos val="nextTo"/>
        <c:txPr>
          <a:bodyPr/>
          <a:lstStyle/>
          <a:p>
            <a:pPr>
              <a:defRPr sz="800" b="1">
                <a:latin typeface="Arial" pitchFamily="34" charset="0"/>
                <a:cs typeface="Arial" pitchFamily="34" charset="0"/>
              </a:defRPr>
            </a:pPr>
            <a:endParaRPr lang="en-US"/>
          </a:p>
        </c:txPr>
        <c:crossAx val="254504600"/>
        <c:crosses val="autoZero"/>
        <c:auto val="1"/>
        <c:lblAlgn val="ctr"/>
        <c:lblOffset val="100"/>
        <c:noMultiLvlLbl val="0"/>
      </c:catAx>
      <c:valAx>
        <c:axId val="254504600"/>
        <c:scaling>
          <c:orientation val="minMax"/>
          <c:min val="30"/>
        </c:scaling>
        <c:delete val="0"/>
        <c:axPos val="l"/>
        <c:majorGridlines/>
        <c:numFmt formatCode="0.0" sourceLinked="1"/>
        <c:majorTickMark val="none"/>
        <c:minorTickMark val="none"/>
        <c:tickLblPos val="nextTo"/>
        <c:spPr>
          <a:ln w="9525">
            <a:noFill/>
          </a:ln>
        </c:spPr>
        <c:txPr>
          <a:bodyPr/>
          <a:lstStyle/>
          <a:p>
            <a:pPr>
              <a:defRPr sz="1400" b="1"/>
            </a:pPr>
            <a:endParaRPr lang="en-US"/>
          </a:p>
        </c:txPr>
        <c:crossAx val="389287024"/>
        <c:crosses val="autoZero"/>
        <c:crossBetween val="between"/>
        <c:majorUnit val="5"/>
      </c:valAx>
    </c:plotArea>
    <c:legend>
      <c:legendPos val="b"/>
      <c:overlay val="0"/>
      <c:txPr>
        <a:bodyPr/>
        <a:lstStyle/>
        <a:p>
          <a:pPr>
            <a:defRPr sz="1200" b="1"/>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Narrow" pitchFamily="34" charset="0"/>
              </a:rPr>
              <a:t>Maintain social welfare at least at the current level. PDI: Maintain welfare minus cut welfare. Percentage points</a:t>
            </a:r>
          </a:p>
        </c:rich>
      </c:tx>
      <c:overlay val="0"/>
    </c:title>
    <c:autoTitleDeleted val="0"/>
    <c:plotArea>
      <c:layout/>
      <c:lineChart>
        <c:grouping val="stacked"/>
        <c:varyColors val="0"/>
        <c:ser>
          <c:idx val="0"/>
          <c:order val="0"/>
          <c:tx>
            <c:strRef>
              <c:f>'Ark1'!$B$4</c:f>
              <c:strCache>
                <c:ptCount val="1"/>
                <c:pt idx="0">
                  <c:v>opinionsbalance</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'Ark1'!$A$5:$A$19</c:f>
              <c:numCache>
                <c:formatCode>General</c:formatCode>
                <c:ptCount val="15"/>
                <c:pt idx="0">
                  <c:v>1969</c:v>
                </c:pt>
                <c:pt idx="1">
                  <c:v>1974</c:v>
                </c:pt>
                <c:pt idx="2">
                  <c:v>1977</c:v>
                </c:pt>
                <c:pt idx="3">
                  <c:v>1979</c:v>
                </c:pt>
                <c:pt idx="4">
                  <c:v>1984</c:v>
                </c:pt>
                <c:pt idx="5">
                  <c:v>1985</c:v>
                </c:pt>
                <c:pt idx="6">
                  <c:v>1987</c:v>
                </c:pt>
                <c:pt idx="7">
                  <c:v>1988</c:v>
                </c:pt>
                <c:pt idx="8">
                  <c:v>1990</c:v>
                </c:pt>
                <c:pt idx="9">
                  <c:v>1994</c:v>
                </c:pt>
                <c:pt idx="10">
                  <c:v>1998</c:v>
                </c:pt>
                <c:pt idx="11">
                  <c:v>2001</c:v>
                </c:pt>
                <c:pt idx="12">
                  <c:v>2005</c:v>
                </c:pt>
                <c:pt idx="13">
                  <c:v>2007</c:v>
                </c:pt>
                <c:pt idx="14">
                  <c:v>2011</c:v>
                </c:pt>
              </c:numCache>
            </c:numRef>
          </c:cat>
          <c:val>
            <c:numRef>
              <c:f>'Ark1'!$B$5:$B$19</c:f>
              <c:numCache>
                <c:formatCode>0</c:formatCode>
                <c:ptCount val="15"/>
                <c:pt idx="0">
                  <c:v>44</c:v>
                </c:pt>
                <c:pt idx="1">
                  <c:v>-8</c:v>
                </c:pt>
                <c:pt idx="2">
                  <c:v>23</c:v>
                </c:pt>
                <c:pt idx="3">
                  <c:v>25</c:v>
                </c:pt>
                <c:pt idx="4">
                  <c:v>39</c:v>
                </c:pt>
                <c:pt idx="5">
                  <c:v>49</c:v>
                </c:pt>
                <c:pt idx="6">
                  <c:v>63</c:v>
                </c:pt>
                <c:pt idx="7">
                  <c:v>53</c:v>
                </c:pt>
                <c:pt idx="8">
                  <c:v>39</c:v>
                </c:pt>
                <c:pt idx="9">
                  <c:v>35</c:v>
                </c:pt>
                <c:pt idx="10">
                  <c:v>33</c:v>
                </c:pt>
                <c:pt idx="11">
                  <c:v>24</c:v>
                </c:pt>
                <c:pt idx="12">
                  <c:v>54</c:v>
                </c:pt>
                <c:pt idx="13">
                  <c:v>59.3</c:v>
                </c:pt>
                <c:pt idx="14">
                  <c:v>48.4</c:v>
                </c:pt>
              </c:numCache>
            </c:numRef>
          </c:val>
          <c:smooth val="0"/>
        </c:ser>
        <c:dLbls>
          <c:showLegendKey val="0"/>
          <c:showVal val="1"/>
          <c:showCatName val="0"/>
          <c:showSerName val="0"/>
          <c:showPercent val="0"/>
          <c:showBubbleSize val="0"/>
        </c:dLbls>
        <c:marker val="1"/>
        <c:smooth val="0"/>
        <c:axId val="317608392"/>
        <c:axId val="482883320"/>
      </c:lineChart>
      <c:catAx>
        <c:axId val="317608392"/>
        <c:scaling>
          <c:orientation val="minMax"/>
        </c:scaling>
        <c:delete val="0"/>
        <c:axPos val="b"/>
        <c:numFmt formatCode="General" sourceLinked="1"/>
        <c:majorTickMark val="none"/>
        <c:minorTickMark val="none"/>
        <c:tickLblPos val="nextTo"/>
        <c:txPr>
          <a:bodyPr/>
          <a:lstStyle/>
          <a:p>
            <a:pPr>
              <a:defRPr sz="800"/>
            </a:pPr>
            <a:endParaRPr lang="en-US"/>
          </a:p>
        </c:txPr>
        <c:crossAx val="482883320"/>
        <c:crosses val="autoZero"/>
        <c:auto val="1"/>
        <c:lblAlgn val="ctr"/>
        <c:lblOffset val="100"/>
        <c:noMultiLvlLbl val="0"/>
      </c:catAx>
      <c:valAx>
        <c:axId val="482883320"/>
        <c:scaling>
          <c:orientation val="minMax"/>
        </c:scaling>
        <c:delete val="0"/>
        <c:axPos val="l"/>
        <c:majorGridlines/>
        <c:numFmt formatCode="0" sourceLinked="1"/>
        <c:majorTickMark val="none"/>
        <c:minorTickMark val="none"/>
        <c:tickLblPos val="nextTo"/>
        <c:spPr>
          <a:ln w="9525">
            <a:noFill/>
          </a:ln>
        </c:spPr>
        <c:crossAx val="317608392"/>
        <c:crosses val="autoZero"/>
        <c:crossBetween val="between"/>
      </c:val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Narrow" pitchFamily="34" charset="0"/>
              </a:defRPr>
            </a:pPr>
            <a:r>
              <a:rPr lang="en-US" sz="1200">
                <a:latin typeface="Arial Narrow" pitchFamily="34" charset="0"/>
              </a:rPr>
              <a:t>A. Opposition against user charges (net). Percentage points</a:t>
            </a:r>
          </a:p>
        </c:rich>
      </c:tx>
      <c:overlay val="0"/>
    </c:title>
    <c:autoTitleDeleted val="0"/>
    <c:plotArea>
      <c:layout/>
      <c:lineChart>
        <c:grouping val="standard"/>
        <c:varyColors val="0"/>
        <c:ser>
          <c:idx val="1"/>
          <c:order val="0"/>
          <c:tx>
            <c:strRef>
              <c:f>'Ark1'!$R$31</c:f>
              <c:strCache>
                <c:ptCount val="1"/>
                <c:pt idx="0">
                  <c:v>oppose user charges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'Ark1'!$P$32:$P$37</c:f>
              <c:numCache>
                <c:formatCode>General</c:formatCode>
                <c:ptCount val="6"/>
                <c:pt idx="0">
                  <c:v>1994</c:v>
                </c:pt>
                <c:pt idx="1">
                  <c:v>1998</c:v>
                </c:pt>
                <c:pt idx="2">
                  <c:v>2001</c:v>
                </c:pt>
                <c:pt idx="3">
                  <c:v>2005</c:v>
                </c:pt>
                <c:pt idx="4">
                  <c:v>2007</c:v>
                </c:pt>
                <c:pt idx="5">
                  <c:v>2011</c:v>
                </c:pt>
              </c:numCache>
            </c:numRef>
          </c:cat>
          <c:val>
            <c:numRef>
              <c:f>'Ark1'!$R$32:$R$37</c:f>
              <c:numCache>
                <c:formatCode>General</c:formatCode>
                <c:ptCount val="6"/>
                <c:pt idx="0">
                  <c:v>38</c:v>
                </c:pt>
                <c:pt idx="1">
                  <c:v>48</c:v>
                </c:pt>
                <c:pt idx="2">
                  <c:v>42</c:v>
                </c:pt>
                <c:pt idx="3">
                  <c:v>52</c:v>
                </c:pt>
                <c:pt idx="4">
                  <c:v>60</c:v>
                </c:pt>
                <c:pt idx="5">
                  <c:v>58</c:v>
                </c:pt>
              </c:numCache>
            </c:numRef>
          </c:val>
          <c:smooth val="0"/>
        </c:ser>
        <c:dLbls>
          <c:showLegendKey val="0"/>
          <c:showVal val="0"/>
          <c:showCatName val="0"/>
          <c:showSerName val="0"/>
          <c:showPercent val="0"/>
          <c:showBubbleSize val="0"/>
        </c:dLbls>
        <c:smooth val="0"/>
        <c:axId val="482873128"/>
        <c:axId val="482880968"/>
      </c:lineChart>
      <c:catAx>
        <c:axId val="482873128"/>
        <c:scaling>
          <c:orientation val="minMax"/>
        </c:scaling>
        <c:delete val="0"/>
        <c:axPos val="b"/>
        <c:numFmt formatCode="General" sourceLinked="1"/>
        <c:majorTickMark val="none"/>
        <c:minorTickMark val="none"/>
        <c:tickLblPos val="nextTo"/>
        <c:crossAx val="482880968"/>
        <c:crosses val="autoZero"/>
        <c:auto val="1"/>
        <c:lblAlgn val="ctr"/>
        <c:lblOffset val="100"/>
        <c:noMultiLvlLbl val="0"/>
      </c:catAx>
      <c:valAx>
        <c:axId val="482880968"/>
        <c:scaling>
          <c:orientation val="minMax"/>
          <c:min val="20"/>
        </c:scaling>
        <c:delete val="0"/>
        <c:axPos val="l"/>
        <c:majorGridlines/>
        <c:numFmt formatCode="General" sourceLinked="1"/>
        <c:majorTickMark val="none"/>
        <c:minorTickMark val="none"/>
        <c:tickLblPos val="nextTo"/>
        <c:spPr>
          <a:ln w="9525">
            <a:noFill/>
          </a:ln>
        </c:spPr>
        <c:crossAx val="4828731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Narrow" pitchFamily="34" charset="0"/>
              </a:defRPr>
            </a:pPr>
            <a:r>
              <a:rPr lang="en-US" sz="1200">
                <a:latin typeface="Arial Narrow" pitchFamily="34" charset="0"/>
              </a:rPr>
              <a:t>B. Preference for welfare rather than tax</a:t>
            </a:r>
            <a:r>
              <a:rPr lang="en-US" sz="1200" baseline="0">
                <a:latin typeface="Arial Narrow" pitchFamily="34" charset="0"/>
              </a:rPr>
              <a:t> relief. Percentage points</a:t>
            </a:r>
            <a:endParaRPr lang="en-US" sz="1200">
              <a:latin typeface="Arial Narrow" pitchFamily="34" charset="0"/>
            </a:endParaRPr>
          </a:p>
        </c:rich>
      </c:tx>
      <c:overlay val="0"/>
    </c:title>
    <c:autoTitleDeleted val="0"/>
    <c:plotArea>
      <c:layout/>
      <c:lineChart>
        <c:grouping val="standard"/>
        <c:varyColors val="0"/>
        <c:ser>
          <c:idx val="0"/>
          <c:order val="0"/>
          <c:tx>
            <c:strRef>
              <c:f>'Ark1'!$Q$31</c:f>
              <c:strCache>
                <c:ptCount val="1"/>
                <c:pt idx="0">
                  <c:v>prefer welfare</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'Ark1'!$P$32:$P$37</c:f>
              <c:numCache>
                <c:formatCode>General</c:formatCode>
                <c:ptCount val="6"/>
                <c:pt idx="0">
                  <c:v>1994</c:v>
                </c:pt>
                <c:pt idx="1">
                  <c:v>1998</c:v>
                </c:pt>
                <c:pt idx="2">
                  <c:v>2001</c:v>
                </c:pt>
                <c:pt idx="3">
                  <c:v>2005</c:v>
                </c:pt>
                <c:pt idx="4">
                  <c:v>2007</c:v>
                </c:pt>
                <c:pt idx="5">
                  <c:v>2011</c:v>
                </c:pt>
              </c:numCache>
            </c:numRef>
          </c:cat>
          <c:val>
            <c:numRef>
              <c:f>'Ark1'!$Q$32:$Q$37</c:f>
              <c:numCache>
                <c:formatCode>0</c:formatCode>
                <c:ptCount val="6"/>
                <c:pt idx="0">
                  <c:v>-3</c:v>
                </c:pt>
                <c:pt idx="1">
                  <c:v>13</c:v>
                </c:pt>
                <c:pt idx="2">
                  <c:v>6</c:v>
                </c:pt>
                <c:pt idx="3">
                  <c:v>26</c:v>
                </c:pt>
                <c:pt idx="4">
                  <c:v>45.5</c:v>
                </c:pt>
                <c:pt idx="5">
                  <c:v>35.300000000000004</c:v>
                </c:pt>
              </c:numCache>
            </c:numRef>
          </c:val>
          <c:smooth val="0"/>
        </c:ser>
        <c:dLbls>
          <c:showLegendKey val="0"/>
          <c:showVal val="0"/>
          <c:showCatName val="0"/>
          <c:showSerName val="0"/>
          <c:showPercent val="0"/>
          <c:showBubbleSize val="0"/>
        </c:dLbls>
        <c:smooth val="0"/>
        <c:axId val="482878224"/>
        <c:axId val="482873912"/>
      </c:lineChart>
      <c:catAx>
        <c:axId val="482878224"/>
        <c:scaling>
          <c:orientation val="minMax"/>
        </c:scaling>
        <c:delete val="0"/>
        <c:axPos val="b"/>
        <c:numFmt formatCode="General" sourceLinked="1"/>
        <c:majorTickMark val="none"/>
        <c:minorTickMark val="none"/>
        <c:tickLblPos val="nextTo"/>
        <c:crossAx val="482873912"/>
        <c:crosses val="autoZero"/>
        <c:auto val="1"/>
        <c:lblAlgn val="ctr"/>
        <c:lblOffset val="100"/>
        <c:noMultiLvlLbl val="0"/>
      </c:catAx>
      <c:valAx>
        <c:axId val="482873912"/>
        <c:scaling>
          <c:orientation val="minMax"/>
        </c:scaling>
        <c:delete val="0"/>
        <c:axPos val="l"/>
        <c:majorGridlines/>
        <c:numFmt formatCode="0" sourceLinked="1"/>
        <c:majorTickMark val="none"/>
        <c:minorTickMark val="none"/>
        <c:tickLblPos val="nextTo"/>
        <c:spPr>
          <a:ln w="9525">
            <a:noFill/>
          </a:ln>
        </c:spPr>
        <c:crossAx val="48287822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'Ark1'!$D$8</c:f>
              <c:strCache>
                <c:ptCount val="1"/>
                <c:pt idx="0">
                  <c:v>større indkomstudligning</c:v>
                </c:pt>
              </c:strCache>
            </c:strRef>
          </c:tx>
          <c:spPr>
            <a:ln w="22225" cmpd="sng">
              <a:solidFill>
                <a:schemeClr val="tx1"/>
              </a:solidFill>
            </a:ln>
          </c:spPr>
          <c:marker>
            <c:symbol val="square"/>
            <c:size val="5"/>
            <c:spPr>
              <a:solidFill>
                <a:schemeClr val="tx1"/>
              </a:solidFill>
              <a:ln>
                <a:solidFill>
                  <a:prstClr val="black"/>
                </a:solidFill>
              </a:ln>
            </c:spPr>
          </c:marker>
          <c:cat>
            <c:strRef>
              <c:f>'Ark1'!$B$9:$B$26</c:f>
              <c:strCache>
                <c:ptCount val="18"/>
                <c:pt idx="0">
                  <c:v>1969</c:v>
                </c:pt>
                <c:pt idx="1">
                  <c:v>1971</c:v>
                </c:pt>
                <c:pt idx="2">
                  <c:v>1973/74</c:v>
                </c:pt>
                <c:pt idx="3">
                  <c:v>1975</c:v>
                </c:pt>
                <c:pt idx="4">
                  <c:v>1977</c:v>
                </c:pt>
                <c:pt idx="5">
                  <c:v>1979</c:v>
                </c:pt>
                <c:pt idx="6">
                  <c:v>1981</c:v>
                </c:pt>
                <c:pt idx="7">
                  <c:v>1984</c:v>
                </c:pt>
                <c:pt idx="8">
                  <c:v>1985</c:v>
                </c:pt>
                <c:pt idx="9">
                  <c:v>1987</c:v>
                </c:pt>
                <c:pt idx="10">
                  <c:v>1988</c:v>
                </c:pt>
                <c:pt idx="11">
                  <c:v>1990</c:v>
                </c:pt>
                <c:pt idx="12">
                  <c:v>1994</c:v>
                </c:pt>
                <c:pt idx="13">
                  <c:v>1998</c:v>
                </c:pt>
                <c:pt idx="14">
                  <c:v>2001</c:v>
                </c:pt>
                <c:pt idx="15">
                  <c:v>2005</c:v>
                </c:pt>
                <c:pt idx="16">
                  <c:v>2007</c:v>
                </c:pt>
                <c:pt idx="17">
                  <c:v>2011V</c:v>
                </c:pt>
              </c:strCache>
            </c:strRef>
          </c:cat>
          <c:val>
            <c:numRef>
              <c:f>'Ark1'!$D$9:$D$26</c:f>
              <c:numCache>
                <c:formatCode>General</c:formatCode>
                <c:ptCount val="18"/>
                <c:pt idx="0">
                  <c:v>39.5</c:v>
                </c:pt>
                <c:pt idx="2">
                  <c:v>31.7</c:v>
                </c:pt>
                <c:pt idx="5">
                  <c:v>18.7</c:v>
                </c:pt>
                <c:pt idx="7">
                  <c:v>1.4</c:v>
                </c:pt>
                <c:pt idx="8">
                  <c:v>35.800000000000004</c:v>
                </c:pt>
                <c:pt idx="9">
                  <c:v>27</c:v>
                </c:pt>
                <c:pt idx="10">
                  <c:v>25</c:v>
                </c:pt>
                <c:pt idx="11">
                  <c:v>26.4</c:v>
                </c:pt>
                <c:pt idx="12">
                  <c:v>8.7000000000000011</c:v>
                </c:pt>
                <c:pt idx="13">
                  <c:v>3.6</c:v>
                </c:pt>
                <c:pt idx="14">
                  <c:v>4.9000000000000004</c:v>
                </c:pt>
                <c:pt idx="15">
                  <c:v>16.399999999999999</c:v>
                </c:pt>
                <c:pt idx="16">
                  <c:v>23.8</c:v>
                </c:pt>
                <c:pt idx="17" formatCode="0.0">
                  <c:v>12</c:v>
                </c:pt>
              </c:numCache>
            </c:numRef>
          </c:val>
          <c:smooth val="0"/>
        </c:ser>
        <c:dLbls>
          <c:showLegendKey val="0"/>
          <c:showVal val="0"/>
          <c:showCatName val="0"/>
          <c:showSerName val="0"/>
          <c:showPercent val="0"/>
          <c:showBubbleSize val="0"/>
        </c:dLbls>
        <c:marker val="1"/>
        <c:smooth val="0"/>
        <c:axId val="482877832"/>
        <c:axId val="482881360"/>
      </c:lineChart>
      <c:catAx>
        <c:axId val="482877832"/>
        <c:scaling>
          <c:orientation val="minMax"/>
        </c:scaling>
        <c:delete val="0"/>
        <c:axPos val="b"/>
        <c:numFmt formatCode="General" sourceLinked="0"/>
        <c:majorTickMark val="none"/>
        <c:minorTickMark val="none"/>
        <c:tickLblPos val="nextTo"/>
        <c:txPr>
          <a:bodyPr/>
          <a:lstStyle/>
          <a:p>
            <a:pPr>
              <a:defRPr sz="800">
                <a:latin typeface="Arial Narrow" pitchFamily="34" charset="0"/>
              </a:defRPr>
            </a:pPr>
            <a:endParaRPr lang="en-US"/>
          </a:p>
        </c:txPr>
        <c:crossAx val="482881360"/>
        <c:crosses val="autoZero"/>
        <c:auto val="1"/>
        <c:lblAlgn val="ctr"/>
        <c:lblOffset val="100"/>
        <c:noMultiLvlLbl val="0"/>
      </c:catAx>
      <c:valAx>
        <c:axId val="482881360"/>
        <c:scaling>
          <c:orientation val="minMax"/>
        </c:scaling>
        <c:delete val="0"/>
        <c:axPos val="l"/>
        <c:majorGridlines/>
        <c:numFmt formatCode="General" sourceLinked="1"/>
        <c:majorTickMark val="none"/>
        <c:minorTickMark val="none"/>
        <c:tickLblPos val="nextTo"/>
        <c:spPr>
          <a:ln w="9525">
            <a:noFill/>
          </a:ln>
        </c:spPr>
        <c:crossAx val="48287783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NIIP 2014</a:t>
            </a:r>
          </a:p>
        </c:rich>
      </c:tx>
      <c:overlay val="0"/>
    </c:title>
    <c:autoTitleDeleted val="0"/>
    <c:plotArea>
      <c:layout/>
      <c:barChart>
        <c:barDir val="col"/>
        <c:grouping val="clustered"/>
        <c:varyColors val="0"/>
        <c:ser>
          <c:idx val="0"/>
          <c:order val="0"/>
          <c:tx>
            <c:strRef>
              <c:f>Sheet0!$Z$3</c:f>
              <c:strCache>
                <c:ptCount val="1"/>
                <c:pt idx="0">
                  <c:v>2014</c:v>
                </c:pt>
              </c:strCache>
            </c:strRef>
          </c:tx>
          <c:spPr>
            <a:solidFill>
              <a:schemeClr val="accent6">
                <a:lumMod val="40000"/>
                <a:lumOff val="60000"/>
              </a:schemeClr>
            </a:solidFill>
          </c:spPr>
          <c:invertIfNegative val="0"/>
          <c:dPt>
            <c:idx val="5"/>
            <c:invertIfNegative val="0"/>
            <c:bubble3D val="0"/>
            <c:spPr>
              <a:solidFill>
                <a:srgbClr val="FF0000"/>
              </a:solidFill>
            </c:spPr>
          </c:dPt>
          <c:dLbls>
            <c:dLbl>
              <c:idx val="0"/>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Sheet0!$Y$4:$Y$37</c:f>
              <c:strCache>
                <c:ptCount val="34"/>
                <c:pt idx="0">
                  <c:v>Norway</c:v>
                </c:pt>
                <c:pt idx="1">
                  <c:v>Switzerland 2011</c:v>
                </c:pt>
                <c:pt idx="2">
                  <c:v>Japan</c:v>
                </c:pt>
                <c:pt idx="3">
                  <c:v>Netherlands</c:v>
                </c:pt>
                <c:pt idx="4">
                  <c:v>Belgium</c:v>
                </c:pt>
                <c:pt idx="5">
                  <c:v>Denmark</c:v>
                </c:pt>
                <c:pt idx="6">
                  <c:v>Malta</c:v>
                </c:pt>
                <c:pt idx="7">
                  <c:v>Luxembourg</c:v>
                </c:pt>
                <c:pt idx="8">
                  <c:v>Germany</c:v>
                </c:pt>
                <c:pt idx="9">
                  <c:v>China</c:v>
                </c:pt>
                <c:pt idx="10">
                  <c:v>Russia</c:v>
                </c:pt>
                <c:pt idx="11">
                  <c:v>Austria</c:v>
                </c:pt>
                <c:pt idx="12">
                  <c:v>Finland</c:v>
                </c:pt>
                <c:pt idx="13">
                  <c:v>Sweden</c:v>
                </c:pt>
                <c:pt idx="14">
                  <c:v>France</c:v>
                </c:pt>
                <c:pt idx="15">
                  <c:v>Italy</c:v>
                </c:pt>
                <c:pt idx="16">
                  <c:v>UK</c:v>
                </c:pt>
                <c:pt idx="17">
                  <c:v>Czech Rep</c:v>
                </c:pt>
                <c:pt idx="18">
                  <c:v>USA</c:v>
                </c:pt>
                <c:pt idx="19">
                  <c:v>Slovenia</c:v>
                </c:pt>
                <c:pt idx="20">
                  <c:v>Estonia</c:v>
                </c:pt>
                <c:pt idx="21">
                  <c:v>Lithuania</c:v>
                </c:pt>
                <c:pt idx="22">
                  <c:v>Romania</c:v>
                </c:pt>
                <c:pt idx="23">
                  <c:v>Latvia</c:v>
                </c:pt>
                <c:pt idx="24">
                  <c:v>Poland</c:v>
                </c:pt>
                <c:pt idx="25">
                  <c:v>Slovakia</c:v>
                </c:pt>
                <c:pt idx="26">
                  <c:v>Hungary</c:v>
                </c:pt>
                <c:pt idx="27">
                  <c:v>Croatia</c:v>
                </c:pt>
                <c:pt idx="28">
                  <c:v>Spain</c:v>
                </c:pt>
                <c:pt idx="29">
                  <c:v>Ireland</c:v>
                </c:pt>
                <c:pt idx="30">
                  <c:v>Portugal</c:v>
                </c:pt>
                <c:pt idx="31">
                  <c:v>Greece</c:v>
                </c:pt>
                <c:pt idx="32">
                  <c:v>Cyprus</c:v>
                </c:pt>
                <c:pt idx="33">
                  <c:v>Iceland</c:v>
                </c:pt>
              </c:strCache>
            </c:strRef>
          </c:cat>
          <c:val>
            <c:numRef>
              <c:f>Sheet0!$Z$4:$Z$37</c:f>
              <c:numCache>
                <c:formatCode>0.0</c:formatCode>
                <c:ptCount val="34"/>
                <c:pt idx="0">
                  <c:v>170.9</c:v>
                </c:pt>
                <c:pt idx="1">
                  <c:v>153.5</c:v>
                </c:pt>
                <c:pt idx="2">
                  <c:v>74.8</c:v>
                </c:pt>
                <c:pt idx="3">
                  <c:v>64.3</c:v>
                </c:pt>
                <c:pt idx="4">
                  <c:v>49.7</c:v>
                </c:pt>
                <c:pt idx="5">
                  <c:v>47.6</c:v>
                </c:pt>
                <c:pt idx="6">
                  <c:v>44.5</c:v>
                </c:pt>
                <c:pt idx="7">
                  <c:v>42</c:v>
                </c:pt>
                <c:pt idx="8">
                  <c:v>36.4</c:v>
                </c:pt>
                <c:pt idx="9">
                  <c:v>17.100000000000001</c:v>
                </c:pt>
                <c:pt idx="10">
                  <c:v>16.7</c:v>
                </c:pt>
                <c:pt idx="11">
                  <c:v>2.6</c:v>
                </c:pt>
                <c:pt idx="12">
                  <c:v>0.4</c:v>
                </c:pt>
                <c:pt idx="13">
                  <c:v>-0.30000000000000032</c:v>
                </c:pt>
                <c:pt idx="14">
                  <c:v>-19.5</c:v>
                </c:pt>
                <c:pt idx="15">
                  <c:v>-27.7</c:v>
                </c:pt>
                <c:pt idx="16">
                  <c:v>-24.8</c:v>
                </c:pt>
                <c:pt idx="17">
                  <c:v>-35.6</c:v>
                </c:pt>
                <c:pt idx="18">
                  <c:v>-39.700000000000003</c:v>
                </c:pt>
                <c:pt idx="19">
                  <c:v>-43.7</c:v>
                </c:pt>
                <c:pt idx="20">
                  <c:v>-43.6</c:v>
                </c:pt>
                <c:pt idx="21">
                  <c:v>-44.2</c:v>
                </c:pt>
                <c:pt idx="22">
                  <c:v>-57.1</c:v>
                </c:pt>
                <c:pt idx="23">
                  <c:v>-61.2</c:v>
                </c:pt>
                <c:pt idx="24">
                  <c:v>-67.400000000000006</c:v>
                </c:pt>
                <c:pt idx="25">
                  <c:v>-70</c:v>
                </c:pt>
                <c:pt idx="26">
                  <c:v>-75</c:v>
                </c:pt>
                <c:pt idx="27">
                  <c:v>-88.6</c:v>
                </c:pt>
                <c:pt idx="28">
                  <c:v>-94.5</c:v>
                </c:pt>
                <c:pt idx="29">
                  <c:v>-106.7</c:v>
                </c:pt>
                <c:pt idx="30">
                  <c:v>-111.6</c:v>
                </c:pt>
                <c:pt idx="31">
                  <c:v>-121.9</c:v>
                </c:pt>
                <c:pt idx="32">
                  <c:v>-165.1</c:v>
                </c:pt>
              </c:numCache>
            </c:numRef>
          </c:val>
        </c:ser>
        <c:dLbls>
          <c:showLegendKey val="0"/>
          <c:showVal val="0"/>
          <c:showCatName val="0"/>
          <c:showSerName val="0"/>
          <c:showPercent val="0"/>
          <c:showBubbleSize val="0"/>
        </c:dLbls>
        <c:gapWidth val="150"/>
        <c:axId val="482882144"/>
        <c:axId val="482884888"/>
      </c:barChart>
      <c:catAx>
        <c:axId val="482882144"/>
        <c:scaling>
          <c:orientation val="minMax"/>
        </c:scaling>
        <c:delete val="0"/>
        <c:axPos val="b"/>
        <c:numFmt formatCode="General" sourceLinked="0"/>
        <c:majorTickMark val="out"/>
        <c:minorTickMark val="none"/>
        <c:tickLblPos val="nextTo"/>
        <c:txPr>
          <a:bodyPr/>
          <a:lstStyle/>
          <a:p>
            <a:pPr>
              <a:defRPr sz="1000" b="1">
                <a:latin typeface="Arial" pitchFamily="34" charset="0"/>
                <a:cs typeface="Arial" pitchFamily="34" charset="0"/>
              </a:defRPr>
            </a:pPr>
            <a:endParaRPr lang="en-US"/>
          </a:p>
        </c:txPr>
        <c:crossAx val="482884888"/>
        <c:crosses val="autoZero"/>
        <c:auto val="1"/>
        <c:lblAlgn val="l"/>
        <c:lblOffset val="100"/>
        <c:noMultiLvlLbl val="0"/>
      </c:catAx>
      <c:valAx>
        <c:axId val="482884888"/>
        <c:scaling>
          <c:orientation val="minMax"/>
          <c:max val="175"/>
          <c:min val="-175"/>
        </c:scaling>
        <c:delete val="0"/>
        <c:axPos val="l"/>
        <c:majorGridlines/>
        <c:numFmt formatCode="0.0" sourceLinked="1"/>
        <c:majorTickMark val="out"/>
        <c:minorTickMark val="none"/>
        <c:tickLblPos val="nextTo"/>
        <c:txPr>
          <a:bodyPr/>
          <a:lstStyle/>
          <a:p>
            <a:pPr>
              <a:defRPr sz="1200" b="1"/>
            </a:pPr>
            <a:endParaRPr lang="en-US"/>
          </a:p>
        </c:txPr>
        <c:crossAx val="482882144"/>
        <c:crosses val="autoZero"/>
        <c:crossBetween val="between"/>
        <c:majorUnit val="2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48A6-B41E-446B-B129-18C65A23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8182</Words>
  <Characters>46642</Characters>
  <Application>Microsoft Office Word</Application>
  <DocSecurity>0</DocSecurity>
  <Lines>388</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Kent</Company>
  <LinksUpToDate>false</LinksUpToDate>
  <CharactersWithSpaces>54715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Leruth</dc:creator>
  <cp:lastModifiedBy>Benjamin Leruth</cp:lastModifiedBy>
  <cp:revision>2</cp:revision>
  <cp:lastPrinted>2015-08-11T21:09:00Z</cp:lastPrinted>
  <dcterms:created xsi:type="dcterms:W3CDTF">2015-08-30T15:21:00Z</dcterms:created>
  <dcterms:modified xsi:type="dcterms:W3CDTF">2015-08-30T15:21:00Z</dcterms:modified>
</cp:coreProperties>
</file>